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EC" w:rsidRDefault="001130EC" w:rsidP="000E0155">
      <w:pPr>
        <w:pStyle w:val="KeinLeerraum"/>
      </w:pPr>
      <w:r w:rsidRPr="000E0155">
        <w:rPr>
          <w:noProof/>
          <w:lang w:eastAsia="de-DE"/>
        </w:rPr>
        <w:drawing>
          <wp:anchor distT="0" distB="0" distL="114300" distR="114300" simplePos="0" relativeHeight="251658240" behindDoc="1" locked="0" layoutInCell="1" allowOverlap="1">
            <wp:simplePos x="0" y="0"/>
            <wp:positionH relativeFrom="column">
              <wp:posOffset>92710</wp:posOffset>
            </wp:positionH>
            <wp:positionV relativeFrom="paragraph">
              <wp:posOffset>-720090</wp:posOffset>
            </wp:positionV>
            <wp:extent cx="1147445" cy="361950"/>
            <wp:effectExtent l="0" t="0" r="0" b="0"/>
            <wp:wrapTight wrapText="bothSides">
              <wp:wrapPolygon edited="0">
                <wp:start x="0" y="0"/>
                <wp:lineTo x="0" y="20463"/>
                <wp:lineTo x="21158" y="20463"/>
                <wp:lineTo x="21158"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Pr="000E0155">
        <w:t>Ausschreibungstext</w:t>
      </w:r>
    </w:p>
    <w:p w:rsidR="000E0155" w:rsidRPr="000E0155" w:rsidRDefault="000E0155" w:rsidP="000E0155">
      <w:pPr>
        <w:pStyle w:val="KeinLeerraum"/>
      </w:pPr>
    </w:p>
    <w:p w:rsidR="005B2DF1" w:rsidRDefault="005B2DF1" w:rsidP="005B2DF1">
      <w:pPr>
        <w:pStyle w:val="KeinLeerraum"/>
      </w:pPr>
      <w:r>
        <w:t>Schwebstoff-Filtergehäuse, Typ GS</w:t>
      </w:r>
    </w:p>
    <w:p w:rsidR="005B2DF1" w:rsidRDefault="005B2DF1" w:rsidP="00EA0EFF">
      <w:pPr>
        <w:pStyle w:val="KeinLeerraum"/>
      </w:pPr>
    </w:p>
    <w:p w:rsidR="005B2DF1" w:rsidRDefault="005B2DF1" w:rsidP="005B2DF1">
      <w:pPr>
        <w:pStyle w:val="Listenabsatz"/>
        <w:numPr>
          <w:ilvl w:val="0"/>
          <w:numId w:val="12"/>
        </w:numPr>
      </w:pPr>
      <w:r>
        <w:t>Das Schwebs</w:t>
      </w:r>
      <w:r w:rsidR="00D31E09">
        <w:t>toff-Filtergehäuse, Typ GS</w:t>
      </w:r>
      <w:r>
        <w:t xml:space="preserve"> zur Aufnahme von Schwebstoff-Filterzellen</w:t>
      </w:r>
    </w:p>
    <w:p w:rsidR="005B2DF1" w:rsidRDefault="005B2DF1" w:rsidP="005B2DF1">
      <w:pPr>
        <w:pStyle w:val="Listenabsatz"/>
        <w:numPr>
          <w:ilvl w:val="0"/>
          <w:numId w:val="12"/>
        </w:numPr>
      </w:pPr>
      <w:r>
        <w:t>Das Filtergehäuse kann einzeln oder in Kombination mit weiteren Gehäusen, z. B. für Vorfilter, Sorptionsfilter usw., verwendet werden. Zur Filterung größerer Volumenströme können mehrere Filtereinheiten zu beliebig großen Filterbänken zusammengebaut werden</w:t>
      </w:r>
    </w:p>
    <w:p w:rsidR="005B2DF1" w:rsidRDefault="005B2DF1" w:rsidP="005B2DF1">
      <w:pPr>
        <w:pStyle w:val="Listenabsatz"/>
        <w:numPr>
          <w:ilvl w:val="0"/>
          <w:numId w:val="12"/>
        </w:numPr>
      </w:pPr>
      <w:r>
        <w:t>Die Verbindung erfolgt durch gasdichtes Rohrstecksystem an der Gehäuseober- und Gehäuseunterseite. Dieses erlaubt den direkten Einbau einzelner oder mehrerer Gehäuse hintereinander in runde Rohrleitungssysteme</w:t>
      </w:r>
    </w:p>
    <w:p w:rsidR="005B2DF1" w:rsidRDefault="005B2DF1" w:rsidP="005B2DF1">
      <w:pPr>
        <w:pStyle w:val="Listenabsatz"/>
        <w:numPr>
          <w:ilvl w:val="0"/>
          <w:numId w:val="12"/>
        </w:numPr>
      </w:pPr>
      <w:r>
        <w:t xml:space="preserve">Die </w:t>
      </w:r>
      <w:proofErr w:type="spellStart"/>
      <w:r>
        <w:t>Durchströmrichtung</w:t>
      </w:r>
      <w:proofErr w:type="spellEnd"/>
      <w:r>
        <w:t xml:space="preserve"> – „von oben nach unten“ oder „von unten nach oben“ – kann beliebig gewählt werden</w:t>
      </w:r>
    </w:p>
    <w:p w:rsidR="005B2DF1" w:rsidRDefault="005B2DF1" w:rsidP="005B2DF1">
      <w:pPr>
        <w:pStyle w:val="Listenabsatz"/>
        <w:numPr>
          <w:ilvl w:val="0"/>
          <w:numId w:val="12"/>
        </w:numPr>
      </w:pPr>
      <w:r>
        <w:t>Der Ein- bzw. Aufbau geschieht durch:</w:t>
      </w:r>
      <w:r>
        <w:br/>
        <w:t>– Aufstecken auf statisch fixierte Rohrleitungen,</w:t>
      </w:r>
      <w:r>
        <w:br/>
        <w:t>– Befestigung an lieferbaren Wandkonsolen</w:t>
      </w:r>
      <w:r>
        <w:br/>
        <w:t>– Aufstellen auf lieferbare Fußgestelle</w:t>
      </w:r>
    </w:p>
    <w:p w:rsidR="005B2DF1" w:rsidRDefault="005B2DF1" w:rsidP="005B2DF1">
      <w:pPr>
        <w:pStyle w:val="Listenabsatz"/>
        <w:numPr>
          <w:ilvl w:val="0"/>
          <w:numId w:val="12"/>
        </w:numPr>
      </w:pPr>
      <w:r>
        <w:t xml:space="preserve">Rohrsystem ausgelegt zur Anbindung eines Spannringsystems für </w:t>
      </w:r>
      <w:proofErr w:type="spellStart"/>
      <w:r>
        <w:t>Bördeldichtungen</w:t>
      </w:r>
      <w:proofErr w:type="spellEnd"/>
      <w:r>
        <w:t>, z. B. System Jacob, DN 300</w:t>
      </w:r>
    </w:p>
    <w:p w:rsidR="005B2DF1" w:rsidRDefault="005B2DF1" w:rsidP="00EA0EFF">
      <w:pPr>
        <w:pStyle w:val="Listenabsatz"/>
        <w:numPr>
          <w:ilvl w:val="0"/>
          <w:numId w:val="12"/>
        </w:numPr>
      </w:pPr>
      <w:r>
        <w:t>Optional: Angeschweißter Lüftungsflansch gemäß DIN EN 12220, DN 300, auf Anfrage lieferbar</w:t>
      </w:r>
    </w:p>
    <w:p w:rsidR="001130EC" w:rsidRPr="00742798" w:rsidRDefault="001130EC" w:rsidP="00EA0EFF">
      <w:pPr>
        <w:pStyle w:val="KeinLeerraum"/>
      </w:pPr>
      <w:r w:rsidRPr="00742798">
        <w:t>Ausführung</w:t>
      </w:r>
    </w:p>
    <w:p w:rsidR="005B2DF1" w:rsidRDefault="005B2DF1" w:rsidP="005B2DF1">
      <w:pPr>
        <w:pStyle w:val="Listenabsatz"/>
        <w:numPr>
          <w:ilvl w:val="0"/>
          <w:numId w:val="13"/>
        </w:numPr>
      </w:pPr>
      <w:r>
        <w:t xml:space="preserve">Die Einzelteile des Filtergehäuses, Typ GS werden aus Edelstahl (Werkstoff-Nr. 1.4301) gefertigt und </w:t>
      </w:r>
      <w:proofErr w:type="spellStart"/>
      <w:r>
        <w:t>gasdicht</w:t>
      </w:r>
      <w:proofErr w:type="spellEnd"/>
      <w:r>
        <w:t xml:space="preserve"> zusammengefügt. Jedes Gehäuse unterliegt einer werksseitigen, gründlichen Fertigungskontrolle</w:t>
      </w:r>
    </w:p>
    <w:p w:rsidR="005B2DF1" w:rsidRDefault="005B2DF1" w:rsidP="005B2DF1">
      <w:pPr>
        <w:pStyle w:val="Listenabsatz"/>
        <w:numPr>
          <w:ilvl w:val="0"/>
          <w:numId w:val="13"/>
        </w:numPr>
      </w:pPr>
      <w:r>
        <w:t>Das Gehäuse für das Schwebstofffilter ist mit einer Anpressvorrichtung für die Filterzelle ausgerüstet. Diese besteht aus zwei unabhängig voneinander, seitlich im Gehäuse angeordneten, balancierenden Zellen-Aufnahmerahmen mit von außen zu betätigenden Anpressschrauben . Die Übertragung der Anpresskraft auf die Aufnahmerahmen erfolgt federnd. Dadurch werden Elastizitätsverluste der Filterdichtung sowie eventuelle Fertigungstoleranzen in der Zellenhöhe selbsttätig ausgeglichen</w:t>
      </w:r>
    </w:p>
    <w:p w:rsidR="005B2DF1" w:rsidRDefault="005B2DF1" w:rsidP="005B2DF1">
      <w:pPr>
        <w:pStyle w:val="Listenabsatz"/>
        <w:numPr>
          <w:ilvl w:val="0"/>
          <w:numId w:val="13"/>
        </w:numPr>
      </w:pPr>
      <w:r>
        <w:t xml:space="preserve">Die Gehäusedurchführung für die Anpressschrauben werden mit Kunststoffkappen </w:t>
      </w:r>
      <w:proofErr w:type="spellStart"/>
      <w:r>
        <w:t>gasdicht</w:t>
      </w:r>
      <w:proofErr w:type="spellEnd"/>
      <w:r>
        <w:t xml:space="preserve"> verschlossen</w:t>
      </w:r>
    </w:p>
    <w:p w:rsidR="005B2DF1" w:rsidRDefault="005B2DF1" w:rsidP="005B2DF1">
      <w:pPr>
        <w:pStyle w:val="Listenabsatz"/>
        <w:numPr>
          <w:ilvl w:val="0"/>
          <w:numId w:val="13"/>
        </w:numPr>
      </w:pPr>
      <w:r>
        <w:t xml:space="preserve">Die Schwebstoff-Filterzelle wird absolut </w:t>
      </w:r>
      <w:proofErr w:type="spellStart"/>
      <w:r>
        <w:t>gasdicht</w:t>
      </w:r>
      <w:proofErr w:type="spellEnd"/>
      <w:r>
        <w:t xml:space="preserve"> in das Gehäuse eingesetzt. Der Dichtrahmen für die Filterzelle besitzt eine umlaufende Prüfrille (nach DIN 1946, Teil 4). Ein angeschlossenes und nach außen geführtes Prüfröhrchen ermöglicht den Anschluss eines Dichtsitzprüfgerätes für die Kontrolle des gasdichten Filtersitzes</w:t>
      </w:r>
    </w:p>
    <w:p w:rsidR="005B2DF1" w:rsidRDefault="005B2DF1" w:rsidP="005B2DF1">
      <w:pPr>
        <w:pStyle w:val="Listenabsatz"/>
        <w:numPr>
          <w:ilvl w:val="0"/>
          <w:numId w:val="13"/>
        </w:numPr>
      </w:pPr>
      <w:r>
        <w:t>Zur Überwachung des Filterwiderstandes sind roh- und reinluftseitig Messstutzen für den Anschluss von Druckdifferenz-Messgeräten vorhanden</w:t>
      </w:r>
    </w:p>
    <w:p w:rsidR="005B2DF1" w:rsidRDefault="005B2DF1" w:rsidP="005B2DF1">
      <w:pPr>
        <w:pStyle w:val="Listenabsatz"/>
        <w:numPr>
          <w:ilvl w:val="0"/>
          <w:numId w:val="13"/>
        </w:numPr>
      </w:pPr>
      <w:r>
        <w:t>Das Gehäuse für eine Vorfilterzelle entspricht in Art und Ausführung dem des Schwebstofffilters, jedoch ist anstelle einer Anpressvorrichtung für die Filterzelle eine fest eingesetzte Blattfeder integriert</w:t>
      </w:r>
    </w:p>
    <w:p w:rsidR="005B2DF1" w:rsidRDefault="005B2DF1" w:rsidP="005B2DF1">
      <w:pPr>
        <w:pStyle w:val="Listenabsatz"/>
        <w:numPr>
          <w:ilvl w:val="0"/>
          <w:numId w:val="13"/>
        </w:numPr>
      </w:pPr>
      <w:r>
        <w:t xml:space="preserve">Für den kontaminationsfreien Wechsel der Filterzellen (bei Filterung schädlicher Luftströme unerlässlich) kann an der Gehäuseöffnung ein </w:t>
      </w:r>
      <w:proofErr w:type="spellStart"/>
      <w:r>
        <w:t>Sackbord</w:t>
      </w:r>
      <w:proofErr w:type="spellEnd"/>
      <w:r>
        <w:t xml:space="preserve"> </w:t>
      </w:r>
      <w:proofErr w:type="spellStart"/>
      <w:r>
        <w:t>gasdicht</w:t>
      </w:r>
      <w:proofErr w:type="spellEnd"/>
      <w:r>
        <w:t xml:space="preserve"> angeschlossen werden. Dieser besitzt zwei umlaufende Dichtrillen für die Befestigung eines Wartungssackes mit Hilfe von Hohlschnurringen</w:t>
      </w:r>
    </w:p>
    <w:p w:rsidR="005B2DF1" w:rsidRPr="005B2DF1" w:rsidRDefault="005B2DF1" w:rsidP="005B2DF1">
      <w:pPr>
        <w:pStyle w:val="Listenabsatz"/>
        <w:numPr>
          <w:ilvl w:val="0"/>
          <w:numId w:val="13"/>
        </w:numPr>
        <w:rPr>
          <w:rFonts w:asciiTheme="minorHAnsi" w:hAnsiTheme="minorHAnsi" w:cstheme="minorHAnsi"/>
          <w:b/>
          <w:bCs/>
          <w:color w:val="000000"/>
        </w:rPr>
      </w:pPr>
      <w:r>
        <w:t xml:space="preserve">Der </w:t>
      </w:r>
      <w:proofErr w:type="spellStart"/>
      <w:r>
        <w:t>gasdichte</w:t>
      </w:r>
      <w:proofErr w:type="spellEnd"/>
      <w:r>
        <w:t xml:space="preserve"> Abschluss der Filtereinführöffnung erfolgt durch einen Gehäusedeckel mit umlaufender Dichtung und Anpressschrauben mit Sterngriffen. Der Gehäusedeckel schützt </w:t>
      </w:r>
      <w:proofErr w:type="spellStart"/>
      <w:r>
        <w:t>Sackbord</w:t>
      </w:r>
      <w:proofErr w:type="spellEnd"/>
      <w:r>
        <w:t xml:space="preserve"> und Wartungssack. </w:t>
      </w:r>
    </w:p>
    <w:p w:rsidR="005B2DF1" w:rsidRDefault="005B2DF1" w:rsidP="001130EC">
      <w:pPr>
        <w:autoSpaceDE w:val="0"/>
        <w:autoSpaceDN w:val="0"/>
        <w:adjustRightInd w:val="0"/>
        <w:spacing w:after="0"/>
        <w:rPr>
          <w:rFonts w:asciiTheme="minorHAnsi" w:hAnsiTheme="minorHAnsi" w:cstheme="minorHAnsi"/>
          <w:b/>
          <w:bCs/>
          <w:color w:val="000000"/>
        </w:rPr>
      </w:pPr>
    </w:p>
    <w:p w:rsidR="00D31E09" w:rsidRDefault="00D31E09" w:rsidP="00AF1CC0">
      <w:pPr>
        <w:autoSpaceDE w:val="0"/>
        <w:autoSpaceDN w:val="0"/>
        <w:adjustRightInd w:val="0"/>
        <w:spacing w:after="0"/>
        <w:rPr>
          <w:rFonts w:asciiTheme="minorHAnsi" w:hAnsiTheme="minorHAnsi" w:cstheme="minorHAnsi"/>
          <w:b/>
          <w:bCs/>
          <w:color w:val="000000"/>
        </w:rPr>
      </w:pPr>
    </w:p>
    <w:p w:rsidR="00D31E09" w:rsidRDefault="00D31E09" w:rsidP="00AF1CC0">
      <w:pPr>
        <w:autoSpaceDE w:val="0"/>
        <w:autoSpaceDN w:val="0"/>
        <w:adjustRightInd w:val="0"/>
        <w:spacing w:after="0"/>
        <w:rPr>
          <w:rFonts w:asciiTheme="minorHAnsi" w:hAnsiTheme="minorHAnsi" w:cstheme="minorHAnsi"/>
          <w:b/>
          <w:bCs/>
          <w:color w:val="000000"/>
        </w:rPr>
      </w:pPr>
    </w:p>
    <w:p w:rsidR="00AF1CC0" w:rsidRDefault="001102AD" w:rsidP="00AF1CC0">
      <w:pPr>
        <w:autoSpaceDE w:val="0"/>
        <w:autoSpaceDN w:val="0"/>
        <w:adjustRightInd w:val="0"/>
        <w:spacing w:after="0"/>
        <w:rPr>
          <w:rFonts w:asciiTheme="minorHAnsi" w:hAnsiTheme="minorHAnsi" w:cstheme="minorHAnsi"/>
          <w:b/>
          <w:bCs/>
          <w:color w:val="000000"/>
        </w:rPr>
      </w:pPr>
      <w:r w:rsidRPr="00D31E09">
        <w:rPr>
          <w:noProof/>
          <w:position w:val="13"/>
          <w:lang w:eastAsia="de-DE"/>
        </w:rPr>
        <w:lastRenderedPageBreak/>
        <w:drawing>
          <wp:anchor distT="0" distB="0" distL="114300" distR="114300" simplePos="0" relativeHeight="251660288" behindDoc="1" locked="0" layoutInCell="1" allowOverlap="1" wp14:anchorId="5C32FA03" wp14:editId="2AAE2D3E">
            <wp:simplePos x="0" y="0"/>
            <wp:positionH relativeFrom="column">
              <wp:posOffset>242570</wp:posOffset>
            </wp:positionH>
            <wp:positionV relativeFrom="paragraph">
              <wp:posOffset>-570230</wp:posOffset>
            </wp:positionV>
            <wp:extent cx="1147445" cy="361950"/>
            <wp:effectExtent l="0" t="0" r="0" b="0"/>
            <wp:wrapTight wrapText="bothSides">
              <wp:wrapPolygon edited="0">
                <wp:start x="0" y="0"/>
                <wp:lineTo x="0" y="20463"/>
                <wp:lineTo x="21158" y="20463"/>
                <wp:lineTo x="21158" y="0"/>
                <wp:lineTo x="0" y="0"/>
              </wp:wrapPolygon>
            </wp:wrapTight>
            <wp:docPr id="2"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001130EC" w:rsidRPr="00742798">
        <w:rPr>
          <w:rFonts w:asciiTheme="minorHAnsi" w:hAnsiTheme="minorHAnsi" w:cstheme="minorHAnsi"/>
          <w:b/>
          <w:bCs/>
          <w:color w:val="000000"/>
        </w:rPr>
        <w:t>Technische Daten</w:t>
      </w:r>
    </w:p>
    <w:p w:rsidR="00AF1CC0" w:rsidRDefault="00AF1CC0" w:rsidP="00AF1CC0">
      <w:pPr>
        <w:pStyle w:val="KeinLeerraum"/>
      </w:pPr>
    </w:p>
    <w:p w:rsidR="005B2DF1" w:rsidRPr="00AF1CC0" w:rsidRDefault="005B2DF1" w:rsidP="00AF1CC0">
      <w:pPr>
        <w:pStyle w:val="KeinLeerraum"/>
        <w:rPr>
          <w:rFonts w:asciiTheme="minorHAnsi" w:hAnsiTheme="minorHAnsi" w:cstheme="minorHAnsi"/>
          <w:bCs/>
          <w:color w:val="000000"/>
        </w:rPr>
      </w:pPr>
      <w:r w:rsidRPr="005B2DF1">
        <w:t>Vorfilter</w:t>
      </w:r>
      <w:r w:rsidRPr="005B2DF1">
        <w:tab/>
      </w:r>
      <w:r w:rsidRPr="005B2DF1">
        <w:rPr>
          <w:position w:val="13"/>
        </w:rPr>
        <w:tab/>
      </w:r>
    </w:p>
    <w:p w:rsidR="00325D83" w:rsidRDefault="00325D83" w:rsidP="005B2DF1">
      <w:pPr>
        <w:pStyle w:val="Listenabsatz"/>
        <w:numPr>
          <w:ilvl w:val="0"/>
          <w:numId w:val="14"/>
        </w:numPr>
      </w:pPr>
      <w:r>
        <w:t xml:space="preserve">Abmessung: </w:t>
      </w:r>
      <w:r w:rsidR="005B2DF1" w:rsidRPr="005B2DF1">
        <w:t>610 x 610 x 50</w:t>
      </w:r>
      <w:r>
        <w:t xml:space="preserve"> mm</w:t>
      </w:r>
      <w:r w:rsidR="005B2DF1" w:rsidRPr="005B2DF1">
        <w:tab/>
      </w:r>
    </w:p>
    <w:p w:rsidR="005B2DF1" w:rsidRPr="005B2DF1" w:rsidRDefault="005B2DF1" w:rsidP="005B2DF1">
      <w:pPr>
        <w:pStyle w:val="Listenabsatz"/>
        <w:numPr>
          <w:ilvl w:val="0"/>
          <w:numId w:val="14"/>
        </w:numPr>
      </w:pPr>
      <w:r w:rsidRPr="005B2DF1">
        <w:t>Gehäuse</w:t>
      </w:r>
      <w:r w:rsidR="00325D83">
        <w:t>höhe H: 348 mm</w:t>
      </w:r>
    </w:p>
    <w:p w:rsidR="00325D83" w:rsidRDefault="00325D83" w:rsidP="005B2DF1">
      <w:pPr>
        <w:pStyle w:val="Listenabsatz"/>
        <w:numPr>
          <w:ilvl w:val="0"/>
          <w:numId w:val="14"/>
        </w:numPr>
      </w:pPr>
      <w:r>
        <w:t>Nennvolumenstrom pro Gehäuse: 1 800</w:t>
      </w:r>
      <w:r w:rsidRPr="00325D83">
        <w:t xml:space="preserve"> </w:t>
      </w:r>
      <w:r w:rsidRPr="005B2DF1">
        <w:t>m</w:t>
      </w:r>
      <w:r w:rsidRPr="00325D83">
        <w:rPr>
          <w:vertAlign w:val="superscript"/>
        </w:rPr>
        <w:t>3</w:t>
      </w:r>
      <w:r w:rsidRPr="005B2DF1">
        <w:t>/h</w:t>
      </w:r>
    </w:p>
    <w:p w:rsidR="005B2DF1" w:rsidRPr="005B2DF1" w:rsidRDefault="005B2DF1" w:rsidP="005B2DF1">
      <w:pPr>
        <w:pStyle w:val="Listenabsatz"/>
        <w:numPr>
          <w:ilvl w:val="0"/>
          <w:numId w:val="14"/>
        </w:numPr>
      </w:pPr>
      <w:r w:rsidRPr="005B2DF1">
        <w:t>Max. Volumenstrom pro Gehäus</w:t>
      </w:r>
      <w:r w:rsidR="00325D83">
        <w:t>e</w:t>
      </w:r>
      <w:r w:rsidR="00325D83" w:rsidRPr="00325D83">
        <w:rPr>
          <w:vertAlign w:val="superscript"/>
        </w:rPr>
        <w:t>1)</w:t>
      </w:r>
      <w:r w:rsidR="00325D83">
        <w:t xml:space="preserve">: 2 200 </w:t>
      </w:r>
      <w:r w:rsidR="00325D83" w:rsidRPr="005B2DF1">
        <w:t>m</w:t>
      </w:r>
      <w:r w:rsidR="00325D83" w:rsidRPr="00325D83">
        <w:rPr>
          <w:vertAlign w:val="superscript"/>
        </w:rPr>
        <w:t>3</w:t>
      </w:r>
      <w:r w:rsidR="00325D83" w:rsidRPr="005B2DF1">
        <w:t>/h</w:t>
      </w:r>
    </w:p>
    <w:p w:rsidR="005B2DF1" w:rsidRDefault="00325D83" w:rsidP="005B2DF1">
      <w:pPr>
        <w:pStyle w:val="Listenabsatz"/>
        <w:numPr>
          <w:ilvl w:val="0"/>
          <w:numId w:val="14"/>
        </w:numPr>
      </w:pPr>
      <w:r>
        <w:t xml:space="preserve">Gewicht ohne Filterzellen </w:t>
      </w:r>
      <w:r w:rsidR="005B2DF1" w:rsidRPr="005B2DF1">
        <w:t>(ca.)</w:t>
      </w:r>
      <w:r>
        <w:t>:</w:t>
      </w:r>
      <w:r w:rsidR="005B2DF1" w:rsidRPr="005B2DF1">
        <w:tab/>
        <w:t>20</w:t>
      </w:r>
      <w:r>
        <w:t xml:space="preserve"> kg</w:t>
      </w:r>
      <w:r w:rsidR="00AF1CC0">
        <w:br/>
      </w:r>
    </w:p>
    <w:p w:rsidR="00325D83" w:rsidRDefault="00325D83" w:rsidP="00325D83">
      <w:pPr>
        <w:pStyle w:val="Listenabsatz"/>
        <w:numPr>
          <w:ilvl w:val="0"/>
          <w:numId w:val="14"/>
        </w:numPr>
      </w:pPr>
      <w:r>
        <w:t xml:space="preserve">Abmessung: </w:t>
      </w:r>
      <w:r w:rsidRPr="005B2DF1">
        <w:t>610 x 610 x 150</w:t>
      </w:r>
      <w:r w:rsidR="00AF1CC0">
        <w:t xml:space="preserve"> </w:t>
      </w:r>
      <w:r>
        <w:t>mm</w:t>
      </w:r>
      <w:r w:rsidRPr="005B2DF1">
        <w:tab/>
      </w:r>
    </w:p>
    <w:p w:rsidR="00325D83" w:rsidRPr="005B2DF1" w:rsidRDefault="00325D83" w:rsidP="00325D83">
      <w:pPr>
        <w:pStyle w:val="Listenabsatz"/>
        <w:numPr>
          <w:ilvl w:val="0"/>
          <w:numId w:val="14"/>
        </w:numPr>
      </w:pPr>
      <w:r w:rsidRPr="005B2DF1">
        <w:t>Gehäuse</w:t>
      </w:r>
      <w:r>
        <w:t xml:space="preserve">höhe H: </w:t>
      </w:r>
      <w:r w:rsidRPr="005B2DF1">
        <w:t>443</w:t>
      </w:r>
      <w:r>
        <w:t xml:space="preserve"> mm</w:t>
      </w:r>
    </w:p>
    <w:p w:rsidR="00325D83" w:rsidRDefault="00325D83" w:rsidP="00325D83">
      <w:pPr>
        <w:pStyle w:val="Listenabsatz"/>
        <w:numPr>
          <w:ilvl w:val="0"/>
          <w:numId w:val="14"/>
        </w:numPr>
      </w:pPr>
      <w:r>
        <w:t>Nennvolumenstrom pro Gehäuse: 1 800</w:t>
      </w:r>
      <w:r w:rsidRPr="00325D83">
        <w:t xml:space="preserve"> </w:t>
      </w:r>
      <w:r w:rsidRPr="005B2DF1">
        <w:t>m</w:t>
      </w:r>
      <w:r w:rsidRPr="00325D83">
        <w:rPr>
          <w:vertAlign w:val="superscript"/>
        </w:rPr>
        <w:t>3</w:t>
      </w:r>
      <w:r w:rsidRPr="005B2DF1">
        <w:t>/h</w:t>
      </w:r>
    </w:p>
    <w:p w:rsidR="00325D83" w:rsidRPr="005B2DF1" w:rsidRDefault="00325D83" w:rsidP="00325D83">
      <w:pPr>
        <w:pStyle w:val="Listenabsatz"/>
        <w:numPr>
          <w:ilvl w:val="0"/>
          <w:numId w:val="14"/>
        </w:numPr>
      </w:pPr>
      <w:r w:rsidRPr="005B2DF1">
        <w:t>Max. Volumenstrom pro Gehäus</w:t>
      </w:r>
      <w:r>
        <w:t>e</w:t>
      </w:r>
      <w:r w:rsidRPr="00325D83">
        <w:rPr>
          <w:vertAlign w:val="superscript"/>
        </w:rPr>
        <w:t>1)</w:t>
      </w:r>
      <w:r>
        <w:t xml:space="preserve">: 2 200 </w:t>
      </w:r>
      <w:r w:rsidRPr="005B2DF1">
        <w:t>m</w:t>
      </w:r>
      <w:r w:rsidRPr="00325D83">
        <w:rPr>
          <w:vertAlign w:val="superscript"/>
        </w:rPr>
        <w:t>3</w:t>
      </w:r>
      <w:r w:rsidRPr="005B2DF1">
        <w:t>/h</w:t>
      </w:r>
    </w:p>
    <w:p w:rsidR="00325D83" w:rsidRDefault="00325D83" w:rsidP="00325D83">
      <w:pPr>
        <w:pStyle w:val="Listenabsatz"/>
        <w:numPr>
          <w:ilvl w:val="0"/>
          <w:numId w:val="14"/>
        </w:numPr>
      </w:pPr>
      <w:r>
        <w:t xml:space="preserve">Gewicht ohne Filterzellen </w:t>
      </w:r>
      <w:r w:rsidRPr="005B2DF1">
        <w:t>(ca.)</w:t>
      </w:r>
      <w:r>
        <w:t>:</w:t>
      </w:r>
      <w:r w:rsidRPr="005B2DF1">
        <w:tab/>
      </w:r>
      <w:r w:rsidR="00AF1CC0" w:rsidRPr="005B2DF1">
        <w:t>24</w:t>
      </w:r>
      <w:r>
        <w:t xml:space="preserve"> kg</w:t>
      </w:r>
    </w:p>
    <w:p w:rsidR="00325D83" w:rsidRDefault="00325D83" w:rsidP="00AF1CC0">
      <w:pPr>
        <w:pStyle w:val="KeinLeerraum"/>
      </w:pPr>
      <w:r w:rsidRPr="005B2DF1">
        <w:t>Schwebstofffilter</w:t>
      </w:r>
    </w:p>
    <w:p w:rsidR="00AF1CC0" w:rsidRDefault="00AF1CC0" w:rsidP="00AF1CC0">
      <w:pPr>
        <w:pStyle w:val="Listenabsatz"/>
        <w:numPr>
          <w:ilvl w:val="0"/>
          <w:numId w:val="14"/>
        </w:numPr>
      </w:pPr>
      <w:r>
        <w:t xml:space="preserve">Abmessung: </w:t>
      </w:r>
      <w:r w:rsidRPr="005B2DF1">
        <w:t>610 x 610 x 150</w:t>
      </w:r>
      <w:r>
        <w:t xml:space="preserve"> mm</w:t>
      </w:r>
      <w:r w:rsidRPr="005B2DF1">
        <w:tab/>
      </w:r>
    </w:p>
    <w:p w:rsidR="00AF1CC0" w:rsidRPr="005B2DF1" w:rsidRDefault="00AF1CC0" w:rsidP="00AF1CC0">
      <w:pPr>
        <w:pStyle w:val="Listenabsatz"/>
        <w:numPr>
          <w:ilvl w:val="0"/>
          <w:numId w:val="14"/>
        </w:numPr>
      </w:pPr>
      <w:r w:rsidRPr="005B2DF1">
        <w:t>Gehäuse</w:t>
      </w:r>
      <w:r>
        <w:t xml:space="preserve">höhe H: </w:t>
      </w:r>
      <w:r w:rsidRPr="005B2DF1">
        <w:t>473</w:t>
      </w:r>
      <w:r>
        <w:t xml:space="preserve"> mm</w:t>
      </w:r>
    </w:p>
    <w:p w:rsidR="00AF1CC0" w:rsidRDefault="00AF1CC0" w:rsidP="00AF1CC0">
      <w:pPr>
        <w:pStyle w:val="Listenabsatz"/>
        <w:numPr>
          <w:ilvl w:val="0"/>
          <w:numId w:val="14"/>
        </w:numPr>
      </w:pPr>
      <w:r>
        <w:t xml:space="preserve">Nennvolumenstrom pro Gehäuse: </w:t>
      </w:r>
      <w:r w:rsidRPr="005B2DF1">
        <w:t>1 000m</w:t>
      </w:r>
      <w:r w:rsidRPr="00325D83">
        <w:rPr>
          <w:vertAlign w:val="superscript"/>
        </w:rPr>
        <w:t>3</w:t>
      </w:r>
      <w:r w:rsidRPr="005B2DF1">
        <w:t>/h</w:t>
      </w:r>
    </w:p>
    <w:p w:rsidR="00AF1CC0" w:rsidRPr="005B2DF1" w:rsidRDefault="00AF1CC0" w:rsidP="00AF1CC0">
      <w:pPr>
        <w:pStyle w:val="Listenabsatz"/>
        <w:numPr>
          <w:ilvl w:val="0"/>
          <w:numId w:val="14"/>
        </w:numPr>
      </w:pPr>
      <w:r w:rsidRPr="005B2DF1">
        <w:t>Max. Volumenstrom pro Gehäus</w:t>
      </w:r>
      <w:r>
        <w:t>e</w:t>
      </w:r>
      <w:r w:rsidRPr="00325D83">
        <w:rPr>
          <w:vertAlign w:val="superscript"/>
        </w:rPr>
        <w:t>1)</w:t>
      </w:r>
      <w:r>
        <w:t xml:space="preserve">: 1 200 </w:t>
      </w:r>
      <w:r w:rsidRPr="005B2DF1">
        <w:t>m</w:t>
      </w:r>
      <w:r w:rsidRPr="00325D83">
        <w:rPr>
          <w:vertAlign w:val="superscript"/>
        </w:rPr>
        <w:t>3</w:t>
      </w:r>
      <w:r w:rsidRPr="005B2DF1">
        <w:t>/h</w:t>
      </w:r>
    </w:p>
    <w:p w:rsidR="00AF1CC0" w:rsidRDefault="00AF1CC0" w:rsidP="00AF1CC0">
      <w:pPr>
        <w:pStyle w:val="Listenabsatz"/>
        <w:numPr>
          <w:ilvl w:val="0"/>
          <w:numId w:val="14"/>
        </w:numPr>
      </w:pPr>
      <w:r>
        <w:t xml:space="preserve">Gewicht ohne Filterzellen </w:t>
      </w:r>
      <w:r w:rsidRPr="005B2DF1">
        <w:t>(ca.)</w:t>
      </w:r>
      <w:r>
        <w:t>:</w:t>
      </w:r>
      <w:r>
        <w:tab/>
        <w:t>26 kg</w:t>
      </w:r>
      <w:r>
        <w:br/>
      </w:r>
    </w:p>
    <w:p w:rsidR="00AF1CC0" w:rsidRDefault="00AF1CC0" w:rsidP="00AF1CC0">
      <w:pPr>
        <w:pStyle w:val="Listenabsatz"/>
        <w:numPr>
          <w:ilvl w:val="0"/>
          <w:numId w:val="14"/>
        </w:numPr>
      </w:pPr>
      <w:r>
        <w:t xml:space="preserve">Abmessung: </w:t>
      </w:r>
      <w:r w:rsidRPr="005B2DF1">
        <w:t>610 x 610 x 292</w:t>
      </w:r>
      <w:r>
        <w:t xml:space="preserve"> mm</w:t>
      </w:r>
      <w:r w:rsidRPr="005B2DF1">
        <w:tab/>
      </w:r>
    </w:p>
    <w:p w:rsidR="00AF1CC0" w:rsidRPr="005B2DF1" w:rsidRDefault="00AF1CC0" w:rsidP="00AF1CC0">
      <w:pPr>
        <w:pStyle w:val="Listenabsatz"/>
        <w:numPr>
          <w:ilvl w:val="0"/>
          <w:numId w:val="14"/>
        </w:numPr>
      </w:pPr>
      <w:r w:rsidRPr="005B2DF1">
        <w:t>Gehäuse</w:t>
      </w:r>
      <w:r>
        <w:t xml:space="preserve">höhe H: </w:t>
      </w:r>
      <w:r w:rsidRPr="005B2DF1">
        <w:t>615</w:t>
      </w:r>
      <w:r>
        <w:t xml:space="preserve"> mm</w:t>
      </w:r>
    </w:p>
    <w:p w:rsidR="00AF1CC0" w:rsidRDefault="00AF1CC0" w:rsidP="00AF1CC0">
      <w:pPr>
        <w:pStyle w:val="Listenabsatz"/>
        <w:numPr>
          <w:ilvl w:val="0"/>
          <w:numId w:val="14"/>
        </w:numPr>
      </w:pPr>
      <w:r>
        <w:t>Nennvolumenstrom pro Gehäuse: 1 800</w:t>
      </w:r>
      <w:r w:rsidRPr="00325D83">
        <w:t xml:space="preserve"> </w:t>
      </w:r>
      <w:r w:rsidRPr="005B2DF1">
        <w:t>m</w:t>
      </w:r>
      <w:r w:rsidRPr="00325D83">
        <w:rPr>
          <w:vertAlign w:val="superscript"/>
        </w:rPr>
        <w:t>3</w:t>
      </w:r>
      <w:r w:rsidRPr="005B2DF1">
        <w:t>/h</w:t>
      </w:r>
    </w:p>
    <w:p w:rsidR="00AF1CC0" w:rsidRPr="005B2DF1" w:rsidRDefault="00AF1CC0" w:rsidP="00AF1CC0">
      <w:pPr>
        <w:pStyle w:val="Listenabsatz"/>
        <w:numPr>
          <w:ilvl w:val="0"/>
          <w:numId w:val="14"/>
        </w:numPr>
      </w:pPr>
      <w:r w:rsidRPr="005B2DF1">
        <w:t>Max. Volumenstrom pro Gehäus</w:t>
      </w:r>
      <w:r>
        <w:t>e</w:t>
      </w:r>
      <w:r w:rsidRPr="00325D83">
        <w:rPr>
          <w:vertAlign w:val="superscript"/>
        </w:rPr>
        <w:t>1)</w:t>
      </w:r>
      <w:r>
        <w:t xml:space="preserve">: 2 200 </w:t>
      </w:r>
      <w:r w:rsidRPr="005B2DF1">
        <w:t>m</w:t>
      </w:r>
      <w:r w:rsidRPr="00325D83">
        <w:rPr>
          <w:vertAlign w:val="superscript"/>
        </w:rPr>
        <w:t>3</w:t>
      </w:r>
      <w:r w:rsidRPr="005B2DF1">
        <w:t>/h</w:t>
      </w:r>
    </w:p>
    <w:p w:rsidR="00AF1CC0" w:rsidRDefault="00AF1CC0" w:rsidP="00AF1CC0">
      <w:pPr>
        <w:pStyle w:val="Listenabsatz"/>
        <w:numPr>
          <w:ilvl w:val="0"/>
          <w:numId w:val="14"/>
        </w:numPr>
      </w:pPr>
      <w:r>
        <w:t xml:space="preserve">Gewicht ohne Filterzellen </w:t>
      </w:r>
      <w:r w:rsidRPr="005B2DF1">
        <w:t>(ca.)</w:t>
      </w:r>
      <w:r>
        <w:t>:</w:t>
      </w:r>
      <w:r w:rsidRPr="005B2DF1">
        <w:tab/>
      </w:r>
      <w:r>
        <w:t>32 kg</w:t>
      </w:r>
    </w:p>
    <w:p w:rsidR="006E0630" w:rsidRDefault="00AF1CC0" w:rsidP="00AF1CC0">
      <w:r w:rsidRPr="00AF1CC0">
        <w:rPr>
          <w:vertAlign w:val="superscript"/>
        </w:rPr>
        <w:t>1)</w:t>
      </w:r>
      <w:r w:rsidRPr="00AF1CC0">
        <w:t>Je nach Leistung der gewählten Filterzelle. Es gelten die Angaben der Filterhersteller. Filtergehäuse für größere Volumenströme als 2 200 m³/h auf Anfrage</w:t>
      </w:r>
      <w:r>
        <w:t>!</w:t>
      </w:r>
    </w:p>
    <w:p w:rsidR="00DD1F69" w:rsidRPr="00AF1CC0" w:rsidRDefault="00DD1F69" w:rsidP="00AF1CC0"/>
    <w:p w:rsidR="00325D83" w:rsidRDefault="00325D83" w:rsidP="00325D83">
      <w:r>
        <w:t>Technische Änderungen vorbehalten.</w:t>
      </w:r>
    </w:p>
    <w:p w:rsidR="004649BE" w:rsidRDefault="004649BE" w:rsidP="00325D83"/>
    <w:p w:rsidR="004649BE" w:rsidRDefault="004649BE" w:rsidP="00325D83"/>
    <w:p w:rsidR="004649BE" w:rsidRPr="00F238E5" w:rsidRDefault="004649BE" w:rsidP="004649BE">
      <w:pPr>
        <w:spacing w:before="0" w:after="0"/>
        <w:rPr>
          <w:rFonts w:asciiTheme="minorHAnsi" w:hAnsiTheme="minorHAnsi" w:cstheme="minorHAnsi"/>
          <w:b/>
        </w:rPr>
      </w:pPr>
      <w:r w:rsidRPr="00F238E5">
        <w:rPr>
          <w:rFonts w:asciiTheme="minorHAnsi" w:hAnsiTheme="minorHAnsi" w:cstheme="minorHAnsi"/>
          <w:b/>
        </w:rPr>
        <w:t>Krantz GmbH</w:t>
      </w:r>
    </w:p>
    <w:p w:rsidR="004649BE" w:rsidRPr="00F238E5" w:rsidRDefault="004649BE" w:rsidP="004649BE">
      <w:pPr>
        <w:spacing w:before="0" w:after="0"/>
        <w:rPr>
          <w:rFonts w:asciiTheme="minorHAnsi" w:hAnsiTheme="minorHAnsi" w:cstheme="minorHAnsi"/>
        </w:rPr>
      </w:pPr>
      <w:proofErr w:type="spellStart"/>
      <w:r w:rsidRPr="00F238E5">
        <w:rPr>
          <w:rFonts w:asciiTheme="minorHAnsi" w:hAnsiTheme="minorHAnsi" w:cstheme="minorHAnsi"/>
        </w:rPr>
        <w:t>Uersfeld</w:t>
      </w:r>
      <w:proofErr w:type="spellEnd"/>
      <w:r w:rsidRPr="00F238E5">
        <w:rPr>
          <w:rFonts w:asciiTheme="minorHAnsi" w:hAnsiTheme="minorHAnsi" w:cstheme="minorHAnsi"/>
        </w:rPr>
        <w:t xml:space="preserve"> 24, 52072 Aachen, Deutschland</w:t>
      </w:r>
    </w:p>
    <w:p w:rsidR="004649BE" w:rsidRPr="00F238E5" w:rsidRDefault="004649BE" w:rsidP="004649BE">
      <w:pPr>
        <w:spacing w:before="0" w:after="0"/>
        <w:rPr>
          <w:rFonts w:asciiTheme="minorHAnsi" w:hAnsiTheme="minorHAnsi" w:cstheme="minorHAnsi"/>
        </w:rPr>
      </w:pPr>
      <w:r w:rsidRPr="00F238E5">
        <w:rPr>
          <w:rFonts w:asciiTheme="minorHAnsi" w:hAnsiTheme="minorHAnsi" w:cstheme="minorHAnsi"/>
        </w:rPr>
        <w:t>Tel.: +49 241 434-1</w:t>
      </w:r>
    </w:p>
    <w:p w:rsidR="004649BE" w:rsidRPr="00F238E5" w:rsidRDefault="004649BE" w:rsidP="004649BE">
      <w:pPr>
        <w:spacing w:before="0" w:after="0"/>
        <w:rPr>
          <w:rFonts w:asciiTheme="minorHAnsi" w:hAnsiTheme="minorHAnsi" w:cstheme="minorHAnsi"/>
        </w:rPr>
      </w:pPr>
      <w:r w:rsidRPr="00F238E5">
        <w:rPr>
          <w:rFonts w:asciiTheme="minorHAnsi" w:hAnsiTheme="minorHAnsi" w:cstheme="minorHAnsi"/>
        </w:rPr>
        <w:t>Fax: +49 241 434-500</w:t>
      </w:r>
    </w:p>
    <w:p w:rsidR="004649BE" w:rsidRPr="00325D83" w:rsidRDefault="004649BE" w:rsidP="004649BE">
      <w:pPr>
        <w:spacing w:before="0" w:after="0"/>
        <w:rPr>
          <w:rFonts w:asciiTheme="minorHAnsi" w:hAnsiTheme="minorHAnsi" w:cstheme="minorHAnsi"/>
        </w:rPr>
      </w:pPr>
      <w:r w:rsidRPr="00F238E5">
        <w:rPr>
          <w:rFonts w:asciiTheme="minorHAnsi" w:hAnsiTheme="minorHAnsi" w:cstheme="minorHAnsi"/>
        </w:rPr>
        <w:t>info.filter@krantz.de | www.krantz.de</w:t>
      </w:r>
      <w:bookmarkStart w:id="0" w:name="_GoBack"/>
      <w:bookmarkEnd w:id="0"/>
    </w:p>
    <w:sectPr w:rsidR="004649BE" w:rsidRPr="00325D83" w:rsidSect="001130EC">
      <w:pgSz w:w="11906" w:h="16838" w:code="9"/>
      <w:pgMar w:top="1843"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BT">
    <w:panose1 w:val="020B0504020202020204"/>
    <w:charset w:val="00"/>
    <w:family w:val="swiss"/>
    <w:pitch w:val="variable"/>
    <w:sig w:usb0="00000087" w:usb1="00000000" w:usb2="00000000" w:usb3="00000000" w:csb0="0000001B" w:csb1="00000000"/>
  </w:font>
  <w:font w:name="Swis721 Lt BT">
    <w:panose1 w:val="020B0403020202020204"/>
    <w:charset w:val="00"/>
    <w:family w:val="swiss"/>
    <w:pitch w:val="variable"/>
    <w:sig w:usb0="00000087" w:usb1="00000000" w:usb2="00000000" w:usb3="00000000" w:csb0="0000001B" w:csb1="00000000"/>
  </w:font>
  <w:font w:name="Swis721 Cn BT">
    <w:panose1 w:val="020B0506020202030204"/>
    <w:charset w:val="00"/>
    <w:family w:val="swiss"/>
    <w:pitch w:val="variable"/>
    <w:sig w:usb0="00000087" w:usb1="00000000" w:usb2="00000000" w:usb3="00000000" w:csb0="0000001B" w:csb1="00000000"/>
  </w:font>
  <w:font w:name="Swis721 Ex BT">
    <w:panose1 w:val="020B0605020202020204"/>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073"/>
    <w:multiLevelType w:val="hybridMultilevel"/>
    <w:tmpl w:val="68F8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354D8F"/>
    <w:multiLevelType w:val="hybridMultilevel"/>
    <w:tmpl w:val="2E4EB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D23350"/>
    <w:multiLevelType w:val="hybridMultilevel"/>
    <w:tmpl w:val="78025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A01713"/>
    <w:multiLevelType w:val="hybridMultilevel"/>
    <w:tmpl w:val="B3FC5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0862F2"/>
    <w:multiLevelType w:val="hybridMultilevel"/>
    <w:tmpl w:val="2DB60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5360E27"/>
    <w:multiLevelType w:val="hybridMultilevel"/>
    <w:tmpl w:val="2C16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8711792"/>
    <w:multiLevelType w:val="hybridMultilevel"/>
    <w:tmpl w:val="BA90CB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89B7044"/>
    <w:multiLevelType w:val="hybridMultilevel"/>
    <w:tmpl w:val="CC70907A"/>
    <w:lvl w:ilvl="0" w:tplc="77D0D89E">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90B512B"/>
    <w:multiLevelType w:val="hybridMultilevel"/>
    <w:tmpl w:val="341ECA14"/>
    <w:lvl w:ilvl="0" w:tplc="A18CF6A8">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BA3522E"/>
    <w:multiLevelType w:val="hybridMultilevel"/>
    <w:tmpl w:val="EC144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1875053"/>
    <w:multiLevelType w:val="hybridMultilevel"/>
    <w:tmpl w:val="70F49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8D80579"/>
    <w:multiLevelType w:val="hybridMultilevel"/>
    <w:tmpl w:val="B5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76D7162"/>
    <w:multiLevelType w:val="hybridMultilevel"/>
    <w:tmpl w:val="0AFA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B78732F"/>
    <w:multiLevelType w:val="hybridMultilevel"/>
    <w:tmpl w:val="63E48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F9D72D7"/>
    <w:multiLevelType w:val="hybridMultilevel"/>
    <w:tmpl w:val="D488F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1"/>
  </w:num>
  <w:num w:numId="4">
    <w:abstractNumId w:val="10"/>
  </w:num>
  <w:num w:numId="5">
    <w:abstractNumId w:val="0"/>
  </w:num>
  <w:num w:numId="6">
    <w:abstractNumId w:val="2"/>
  </w:num>
  <w:num w:numId="7">
    <w:abstractNumId w:val="13"/>
  </w:num>
  <w:num w:numId="8">
    <w:abstractNumId w:val="5"/>
  </w:num>
  <w:num w:numId="9">
    <w:abstractNumId w:val="1"/>
  </w:num>
  <w:num w:numId="10">
    <w:abstractNumId w:val="7"/>
  </w:num>
  <w:num w:numId="11">
    <w:abstractNumId w:val="8"/>
  </w:num>
  <w:num w:numId="12">
    <w:abstractNumId w:val="4"/>
  </w:num>
  <w:num w:numId="13">
    <w:abstractNumId w:val="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1130EC"/>
    <w:rsid w:val="0000037E"/>
    <w:rsid w:val="00013F2E"/>
    <w:rsid w:val="000E0155"/>
    <w:rsid w:val="001102AD"/>
    <w:rsid w:val="001130EC"/>
    <w:rsid w:val="001153DD"/>
    <w:rsid w:val="001313E8"/>
    <w:rsid w:val="00192617"/>
    <w:rsid w:val="00251341"/>
    <w:rsid w:val="0029487D"/>
    <w:rsid w:val="0031363F"/>
    <w:rsid w:val="00325D83"/>
    <w:rsid w:val="00327581"/>
    <w:rsid w:val="00351BF5"/>
    <w:rsid w:val="003C09F9"/>
    <w:rsid w:val="004511AD"/>
    <w:rsid w:val="004649BE"/>
    <w:rsid w:val="00540083"/>
    <w:rsid w:val="005B2DF1"/>
    <w:rsid w:val="00696F3F"/>
    <w:rsid w:val="006E0630"/>
    <w:rsid w:val="00726815"/>
    <w:rsid w:val="00732555"/>
    <w:rsid w:val="00742798"/>
    <w:rsid w:val="007627DB"/>
    <w:rsid w:val="00776F5F"/>
    <w:rsid w:val="007F54C1"/>
    <w:rsid w:val="00927851"/>
    <w:rsid w:val="00AF1CC0"/>
    <w:rsid w:val="00D31E09"/>
    <w:rsid w:val="00D46ABF"/>
    <w:rsid w:val="00DC0288"/>
    <w:rsid w:val="00DD1F69"/>
    <w:rsid w:val="00E3692E"/>
    <w:rsid w:val="00EA0EFF"/>
    <w:rsid w:val="00EF0FA5"/>
    <w:rsid w:val="00F77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155"/>
    <w:pPr>
      <w:spacing w:before="240" w:after="240" w:line="240" w:lineRule="auto"/>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uiPriority w:val="1"/>
    <w:qFormat/>
    <w:rsid w:val="00EA0EFF"/>
    <w:pPr>
      <w:spacing w:after="0" w:line="240" w:lineRule="auto"/>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contextualSpacing/>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 w:type="paragraph" w:customStyle="1" w:styleId="Subheading2">
    <w:name w:val="Subheading 2"/>
    <w:basedOn w:val="Standard"/>
    <w:uiPriority w:val="99"/>
    <w:rsid w:val="006E0630"/>
    <w:pPr>
      <w:autoSpaceDE w:val="0"/>
      <w:autoSpaceDN w:val="0"/>
      <w:adjustRightInd w:val="0"/>
      <w:spacing w:before="0" w:after="0" w:line="240" w:lineRule="atLeast"/>
      <w:textAlignment w:val="center"/>
    </w:pPr>
    <w:rPr>
      <w:rFonts w:ascii="Swis721 BT" w:hAnsi="Swis721 BT" w:cs="Swis721 BT"/>
      <w:b/>
      <w:bCs/>
      <w:color w:val="000000"/>
      <w:spacing w:val="1"/>
      <w:sz w:val="17"/>
      <w:szCs w:val="17"/>
    </w:rPr>
  </w:style>
  <w:style w:type="paragraph" w:customStyle="1" w:styleId="EinfacherAbsatz">
    <w:name w:val="[Einfacher Absatz]"/>
    <w:basedOn w:val="Standard"/>
    <w:uiPriority w:val="99"/>
    <w:rsid w:val="006E0630"/>
    <w:pPr>
      <w:autoSpaceDE w:val="0"/>
      <w:autoSpaceDN w:val="0"/>
      <w:adjustRightInd w:val="0"/>
      <w:spacing w:before="0" w:after="0" w:line="240" w:lineRule="atLeast"/>
      <w:jc w:val="both"/>
      <w:textAlignment w:val="center"/>
    </w:pPr>
    <w:rPr>
      <w:rFonts w:ascii="Swis721 Lt BT" w:hAnsi="Swis721 Lt BT" w:cs="Swis721 Lt BT"/>
      <w:color w:val="000000"/>
      <w:spacing w:val="1"/>
      <w:sz w:val="16"/>
      <w:szCs w:val="16"/>
    </w:rPr>
  </w:style>
  <w:style w:type="paragraph" w:customStyle="1" w:styleId="MerkmaleWrfel">
    <w:name w:val="Merkmale + Würfel"/>
    <w:basedOn w:val="Standard"/>
    <w:uiPriority w:val="99"/>
    <w:rsid w:val="006E0630"/>
    <w:pPr>
      <w:autoSpaceDE w:val="0"/>
      <w:autoSpaceDN w:val="0"/>
      <w:adjustRightInd w:val="0"/>
      <w:spacing w:before="0" w:after="0" w:line="240" w:lineRule="atLeast"/>
      <w:ind w:left="227" w:hanging="227"/>
      <w:textAlignment w:val="center"/>
    </w:pPr>
    <w:rPr>
      <w:rFonts w:ascii="Swis721 Lt BT" w:hAnsi="Swis721 Lt BT" w:cs="Swis721 Lt BT"/>
      <w:color w:val="000000"/>
      <w:spacing w:val="1"/>
      <w:sz w:val="16"/>
      <w:szCs w:val="16"/>
    </w:rPr>
  </w:style>
  <w:style w:type="paragraph" w:customStyle="1" w:styleId="Tabellelinks">
    <w:name w:val="Tabelle links"/>
    <w:basedOn w:val="Standard"/>
    <w:uiPriority w:val="99"/>
    <w:rsid w:val="006E0630"/>
    <w:pPr>
      <w:autoSpaceDE w:val="0"/>
      <w:autoSpaceDN w:val="0"/>
      <w:adjustRightInd w:val="0"/>
      <w:spacing w:before="0" w:after="0" w:line="240" w:lineRule="atLeast"/>
      <w:textAlignment w:val="center"/>
    </w:pPr>
    <w:rPr>
      <w:rFonts w:ascii="Swis721 Lt BT" w:hAnsi="Swis721 Lt BT" w:cs="Swis721 Lt BT"/>
      <w:color w:val="000000"/>
      <w:spacing w:val="1"/>
      <w:sz w:val="16"/>
      <w:szCs w:val="16"/>
    </w:rPr>
  </w:style>
  <w:style w:type="paragraph" w:customStyle="1" w:styleId="Graphictext">
    <w:name w:val="Graphic text"/>
    <w:basedOn w:val="Standard"/>
    <w:uiPriority w:val="99"/>
    <w:rsid w:val="006E0630"/>
    <w:pPr>
      <w:tabs>
        <w:tab w:val="left" w:pos="142"/>
      </w:tabs>
      <w:autoSpaceDE w:val="0"/>
      <w:autoSpaceDN w:val="0"/>
      <w:adjustRightInd w:val="0"/>
      <w:spacing w:before="0" w:after="0" w:line="240" w:lineRule="atLeast"/>
      <w:textAlignment w:val="center"/>
    </w:pPr>
    <w:rPr>
      <w:rFonts w:ascii="Swis721 Cn BT" w:hAnsi="Swis721 Cn BT" w:cs="Swis721 Cn BT"/>
      <w:color w:val="000000"/>
      <w:spacing w:val="3"/>
      <w:sz w:val="15"/>
      <w:szCs w:val="15"/>
    </w:rPr>
  </w:style>
  <w:style w:type="character" w:customStyle="1" w:styleId="Hochgestellt">
    <w:name w:val="Hochgestellt"/>
    <w:uiPriority w:val="99"/>
    <w:rsid w:val="006E0630"/>
    <w:rPr>
      <w:position w:val="4"/>
      <w:sz w:val="12"/>
      <w:szCs w:val="12"/>
    </w:rPr>
  </w:style>
  <w:style w:type="paragraph" w:customStyle="1" w:styleId="Headline1">
    <w:name w:val="Headline 1"/>
    <w:basedOn w:val="Standard"/>
    <w:uiPriority w:val="99"/>
    <w:rsid w:val="005B2DF1"/>
    <w:pPr>
      <w:autoSpaceDE w:val="0"/>
      <w:autoSpaceDN w:val="0"/>
      <w:adjustRightInd w:val="0"/>
      <w:spacing w:before="0" w:after="0" w:line="360" w:lineRule="atLeast"/>
      <w:textAlignment w:val="center"/>
    </w:pPr>
    <w:rPr>
      <w:rFonts w:ascii="Swis721 Ex BT" w:hAnsi="Swis721 Ex BT" w:cs="Swis721 Ex BT"/>
      <w:b/>
      <w:bCs/>
      <w:color w:val="000000"/>
      <w:spacing w:val="6"/>
      <w:sz w:val="32"/>
      <w:szCs w:val="32"/>
    </w:rPr>
  </w:style>
  <w:style w:type="character" w:customStyle="1" w:styleId="EinfacherAbsatzTiefgestellt">
    <w:name w:val="Einfacher Absatz Tiefgestellt"/>
    <w:uiPriority w:val="99"/>
    <w:rsid w:val="005B2DF1"/>
    <w:rPr>
      <w:spacing w:val="2"/>
      <w:position w:val="-2"/>
      <w:sz w:val="11"/>
      <w:szCs w:val="11"/>
    </w:rPr>
  </w:style>
  <w:style w:type="paragraph" w:customStyle="1" w:styleId="Tabellemitteweiss">
    <w:name w:val="Tabelle mitte weiss"/>
    <w:basedOn w:val="Standard"/>
    <w:uiPriority w:val="99"/>
    <w:rsid w:val="005B2DF1"/>
    <w:pPr>
      <w:autoSpaceDE w:val="0"/>
      <w:autoSpaceDN w:val="0"/>
      <w:adjustRightInd w:val="0"/>
      <w:spacing w:before="0" w:after="0" w:line="240" w:lineRule="atLeast"/>
      <w:jc w:val="center"/>
      <w:textAlignment w:val="center"/>
    </w:pPr>
    <w:rPr>
      <w:rFonts w:ascii="Swis721 BT" w:hAnsi="Swis721 BT" w:cs="Swis721 BT"/>
      <w:b/>
      <w:bCs/>
      <w:color w:val="FFFFFF"/>
      <w:spacing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7813BED1738D4C940C41E37F76C4B6" ma:contentTypeVersion="1" ma:contentTypeDescription="Ein neues Dokument erstellen." ma:contentTypeScope="" ma:versionID="e944e6a753b63ff5f9756a6fa6273965">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7259B-BB6F-4B60-A536-EE644B7BB79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322C180-5337-4BCC-95DB-624392AE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8156A5-79AF-4DCB-BED8-5A057FB4D901}">
  <ds:schemaRefs>
    <ds:schemaRef ds:uri="http://schemas.microsoft.com/sharepoint/v3/contenttype/forms"/>
  </ds:schemaRefs>
</ds:datastoreItem>
</file>

<file path=customXml/itemProps4.xml><?xml version="1.0" encoding="utf-8"?>
<ds:datastoreItem xmlns:ds="http://schemas.openxmlformats.org/officeDocument/2006/customXml" ds:itemID="{53234463-AF96-4880-ABD0-1DE1B0CC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rgoettgens</dc:creator>
  <cp:keywords/>
  <dc:description/>
  <cp:lastModifiedBy>Ostendorp Marion</cp:lastModifiedBy>
  <cp:revision>7</cp:revision>
  <dcterms:created xsi:type="dcterms:W3CDTF">2012-11-16T09:22:00Z</dcterms:created>
  <dcterms:modified xsi:type="dcterms:W3CDTF">2018-01-05T13:17:00Z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0x010100A27813BED1738D4C940C41E37F76C4B6</vt:lpwstr>
  </property>
</Properties>
</file>