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F8" w:rsidRDefault="00707955" w:rsidP="00A316F8">
      <w:pPr>
        <w:pStyle w:val="KeinLeerraum"/>
      </w:pPr>
      <w:r w:rsidRPr="00592455">
        <w:rPr>
          <w:noProof/>
          <w:lang w:eastAsia="de-DE"/>
        </w:rPr>
        <w:drawing>
          <wp:anchor distT="0" distB="0" distL="114300" distR="114300" simplePos="0" relativeHeight="251661312" behindDoc="1" locked="0" layoutInCell="1" allowOverlap="1" wp14:anchorId="22E9CC50" wp14:editId="7E4FD4A1">
            <wp:simplePos x="0" y="0"/>
            <wp:positionH relativeFrom="column">
              <wp:posOffset>242570</wp:posOffset>
            </wp:positionH>
            <wp:positionV relativeFrom="paragraph">
              <wp:posOffset>-570230</wp:posOffset>
            </wp:positionV>
            <wp:extent cx="1147445" cy="361950"/>
            <wp:effectExtent l="0" t="0" r="0" b="0"/>
            <wp:wrapTight wrapText="bothSides">
              <wp:wrapPolygon edited="0">
                <wp:start x="0" y="0"/>
                <wp:lineTo x="0" y="20463"/>
                <wp:lineTo x="21158" y="20463"/>
                <wp:lineTo x="21158" y="0"/>
                <wp:lineTo x="0" y="0"/>
              </wp:wrapPolygon>
            </wp:wrapTight>
            <wp:docPr id="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A316F8">
        <w:t xml:space="preserve">Druckentlastungsklappen, Typ KL-ETE und Typ KL-ETM für niedrige Öffnungsdrücke </w:t>
      </w:r>
    </w:p>
    <w:p w:rsidR="00A316F8" w:rsidRDefault="00A316F8" w:rsidP="00A316F8">
      <w:pPr>
        <w:pStyle w:val="KeinLeerraum"/>
      </w:pPr>
    </w:p>
    <w:p w:rsidR="00A316F8" w:rsidRDefault="00A316F8" w:rsidP="00A316F8">
      <w:pPr>
        <w:pStyle w:val="KeinLeerraum"/>
      </w:pPr>
      <w:r w:rsidRPr="000E0155">
        <w:t>Ausschreibungstext</w:t>
      </w:r>
      <w:r>
        <w:t>e</w:t>
      </w:r>
    </w:p>
    <w:p w:rsidR="00A316F8" w:rsidRDefault="00A316F8" w:rsidP="00A316F8">
      <w:pPr>
        <w:pStyle w:val="KeinLeerraum"/>
      </w:pPr>
    </w:p>
    <w:p w:rsidR="00A316F8" w:rsidRPr="001402B4" w:rsidRDefault="00A316F8" w:rsidP="00A316F8">
      <w:pPr>
        <w:pStyle w:val="KeinLeerraum"/>
      </w:pPr>
      <w:r w:rsidRPr="001402B4">
        <w:t>Druckentlastungsklappe, Typ KL-ETE</w:t>
      </w:r>
    </w:p>
    <w:p w:rsidR="00F86BFB" w:rsidRPr="00F86BFB" w:rsidRDefault="00F86BFB" w:rsidP="00F86BFB">
      <w:r w:rsidRPr="00F86BFB">
        <w:t>Selbsttätige gewichtsbelastete Druckentlastungs</w:t>
      </w:r>
      <w:r>
        <w:t>klappe aus verzinktem Stahlblech</w:t>
      </w:r>
      <w:r w:rsidRPr="00F86BFB">
        <w:rPr>
          <w:vertAlign w:val="superscript"/>
        </w:rPr>
        <w:t>1)</w:t>
      </w:r>
      <w:r w:rsidRPr="00F86BFB">
        <w:t xml:space="preserve"> mit einteiligem vertikal gelagertem Klappenblatt zur Entlastung von großen Volumenströmen bei kleinen Öffnungsdrücken.</w:t>
      </w:r>
    </w:p>
    <w:p w:rsidR="00F86BFB" w:rsidRPr="00F86BFB" w:rsidRDefault="00F86BFB" w:rsidP="00AA4454">
      <w:pPr>
        <w:pStyle w:val="KeinLeerraum"/>
      </w:pPr>
      <w:r w:rsidRPr="00F86BFB">
        <w:t>Merkmale</w:t>
      </w:r>
    </w:p>
    <w:p w:rsidR="00F86BFB" w:rsidRPr="00F86BFB" w:rsidRDefault="00F86BFB" w:rsidP="00AA4454">
      <w:pPr>
        <w:pStyle w:val="Listenabsatz"/>
        <w:numPr>
          <w:ilvl w:val="0"/>
          <w:numId w:val="8"/>
        </w:numPr>
        <w:spacing w:before="0" w:beforeAutospacing="0"/>
      </w:pPr>
      <w:r w:rsidRPr="00F86BFB">
        <w:t>Im geschlossenen Zustand luftdicht nach DIN</w:t>
      </w:r>
      <w:r w:rsidRPr="00F86BFB">
        <w:rPr>
          <w:rFonts w:cs="Arial"/>
        </w:rPr>
        <w:t xml:space="preserve"> </w:t>
      </w:r>
      <w:r w:rsidRPr="00F86BFB">
        <w:t>1946-4</w:t>
      </w:r>
    </w:p>
    <w:p w:rsidR="00F86BFB" w:rsidRPr="00F86BFB" w:rsidRDefault="00F86BFB" w:rsidP="00F86BFB">
      <w:pPr>
        <w:pStyle w:val="Listenabsatz"/>
        <w:numPr>
          <w:ilvl w:val="0"/>
          <w:numId w:val="8"/>
        </w:numPr>
      </w:pPr>
      <w:r w:rsidRPr="00F86BFB">
        <w:t>Öffnet bei Erreichen des eingestellten</w:t>
      </w:r>
      <w:r>
        <w:t xml:space="preserve"> </w:t>
      </w:r>
      <w:r w:rsidRPr="00F86BFB">
        <w:t>Öffnungsdruckes</w:t>
      </w:r>
    </w:p>
    <w:p w:rsidR="00F86BFB" w:rsidRPr="00F86BFB" w:rsidRDefault="00F86BFB" w:rsidP="00F86BFB">
      <w:pPr>
        <w:pStyle w:val="Listenabsatz"/>
        <w:numPr>
          <w:ilvl w:val="0"/>
          <w:numId w:val="8"/>
        </w:numPr>
      </w:pPr>
      <w:r w:rsidRPr="00F86BFB">
        <w:t>Quasi gleicher Differenzdruck unabhängig vom Volumenstrom</w:t>
      </w:r>
      <w:r>
        <w:t xml:space="preserve"> </w:t>
      </w:r>
      <w:r w:rsidRPr="00F86BFB">
        <w:t>(Regelfunktion)</w:t>
      </w:r>
    </w:p>
    <w:p w:rsidR="00F86BFB" w:rsidRPr="00F86BFB" w:rsidRDefault="00F86BFB" w:rsidP="00F86BFB">
      <w:pPr>
        <w:pStyle w:val="Listenabsatz"/>
        <w:numPr>
          <w:ilvl w:val="0"/>
          <w:numId w:val="8"/>
        </w:numPr>
      </w:pPr>
      <w:r w:rsidRPr="00F86BFB">
        <w:t>Schließt selbsttätig bei Unterschreitung</w:t>
      </w:r>
      <w:r>
        <w:t xml:space="preserve"> </w:t>
      </w:r>
      <w:r w:rsidRPr="00F86BFB">
        <w:t xml:space="preserve">des Öffnungsdruckes </w:t>
      </w:r>
    </w:p>
    <w:p w:rsidR="00F86BFB" w:rsidRDefault="00F86BFB" w:rsidP="00F86BFB">
      <w:pPr>
        <w:pStyle w:val="Listenabsatz"/>
        <w:numPr>
          <w:ilvl w:val="0"/>
          <w:numId w:val="8"/>
        </w:numPr>
      </w:pPr>
      <w:r w:rsidRPr="00F86BFB">
        <w:t>Einstellen des Öffnungsdruckes durch</w:t>
      </w:r>
      <w:r>
        <w:t xml:space="preserve"> </w:t>
      </w:r>
      <w:r w:rsidRPr="00F86BFB">
        <w:t>Variation der Rückstellmasse</w:t>
      </w:r>
    </w:p>
    <w:p w:rsidR="00F86BFB" w:rsidRPr="00F86BFB" w:rsidRDefault="00F86BFB" w:rsidP="00AA4454">
      <w:pPr>
        <w:pStyle w:val="KeinLeerraum"/>
        <w:spacing w:before="240"/>
      </w:pPr>
      <w:r w:rsidRPr="00F86BFB">
        <w:t>Technische Daten</w:t>
      </w:r>
    </w:p>
    <w:p w:rsidR="00F86BFB" w:rsidRDefault="00F86BFB" w:rsidP="00AA4454">
      <w:pPr>
        <w:pStyle w:val="Listenabsatz"/>
        <w:numPr>
          <w:ilvl w:val="0"/>
          <w:numId w:val="9"/>
        </w:numPr>
        <w:spacing w:before="0" w:beforeAutospacing="0"/>
      </w:pPr>
      <w:r>
        <w:t xml:space="preserve">Fabrikat: </w:t>
      </w:r>
      <w:r w:rsidR="00707955">
        <w:t>Krantz</w:t>
      </w:r>
    </w:p>
    <w:p w:rsidR="00F86BFB" w:rsidRDefault="00F86BFB" w:rsidP="00F86BFB">
      <w:pPr>
        <w:pStyle w:val="Listenabsatz"/>
        <w:numPr>
          <w:ilvl w:val="0"/>
          <w:numId w:val="9"/>
        </w:numPr>
      </w:pPr>
      <w:r>
        <w:t xml:space="preserve">Typ: </w:t>
      </w:r>
      <w:r w:rsidRPr="00F86BFB">
        <w:t>KL-ETE</w:t>
      </w:r>
    </w:p>
    <w:p w:rsidR="00F86BFB" w:rsidRPr="00F86BFB" w:rsidRDefault="00F86BFB" w:rsidP="00F86BFB">
      <w:pPr>
        <w:pStyle w:val="Listenabsatz"/>
        <w:numPr>
          <w:ilvl w:val="0"/>
          <w:numId w:val="9"/>
        </w:numPr>
      </w:pPr>
      <w:r w:rsidRPr="00F86BFB">
        <w:t>Klappengröße B x H x T:</w:t>
      </w:r>
      <w:r>
        <w:t xml:space="preserve"> </w:t>
      </w:r>
      <w:r w:rsidRPr="00F86BFB">
        <w:rPr>
          <w:spacing w:val="-3"/>
        </w:rPr>
        <w:t>348 x 598 x 485 mm</w:t>
      </w:r>
    </w:p>
    <w:p w:rsidR="00F86BFB" w:rsidRPr="00F86BFB" w:rsidRDefault="00F86BFB" w:rsidP="00F86BFB">
      <w:pPr>
        <w:pStyle w:val="Listenabsatz"/>
        <w:numPr>
          <w:ilvl w:val="0"/>
          <w:numId w:val="9"/>
        </w:numPr>
        <w:rPr>
          <w:spacing w:val="-3"/>
        </w:rPr>
      </w:pPr>
      <w:r>
        <w:t xml:space="preserve">Gewicht: </w:t>
      </w:r>
      <w:r w:rsidRPr="00F86BFB">
        <w:t>ca. 19 kg</w:t>
      </w:r>
    </w:p>
    <w:p w:rsidR="00F86BFB" w:rsidRDefault="00F86BFB" w:rsidP="00F86BFB">
      <w:pPr>
        <w:pStyle w:val="Listenabsatz"/>
        <w:numPr>
          <w:ilvl w:val="0"/>
          <w:numId w:val="9"/>
        </w:numPr>
      </w:pPr>
      <w:r w:rsidRPr="00F86BFB">
        <w:t>Volumenstrombereich</w:t>
      </w:r>
      <w:r w:rsidRPr="00F86BFB">
        <w:rPr>
          <w:vertAlign w:val="superscript"/>
        </w:rPr>
        <w:t>2)</w:t>
      </w:r>
      <w:r>
        <w:t xml:space="preserve">: </w:t>
      </w:r>
      <w:r w:rsidRPr="00F86BFB">
        <w:t>0 – 5 000 m</w:t>
      </w:r>
      <w:r w:rsidRPr="00F86BFB">
        <w:rPr>
          <w:vertAlign w:val="superscript"/>
        </w:rPr>
        <w:t>3</w:t>
      </w:r>
      <w:r w:rsidRPr="00F86BFB">
        <w:t>/h</w:t>
      </w:r>
      <w:r w:rsidRPr="00F86BFB">
        <w:tab/>
      </w:r>
    </w:p>
    <w:p w:rsidR="00F86BFB" w:rsidRPr="00F86BFB" w:rsidRDefault="00F86BFB" w:rsidP="00F86BFB">
      <w:pPr>
        <w:pStyle w:val="Listenabsatz"/>
        <w:numPr>
          <w:ilvl w:val="0"/>
          <w:numId w:val="9"/>
        </w:numPr>
      </w:pPr>
      <w:r w:rsidRPr="00F86BFB">
        <w:t>Öffnungsdruck einstellbar:</w:t>
      </w:r>
      <w:r>
        <w:t xml:space="preserve"> </w:t>
      </w:r>
      <w:r w:rsidRPr="00F86BFB">
        <w:t>50 – 150 Pa</w:t>
      </w:r>
      <w:r w:rsidRPr="00F86BFB">
        <w:rPr>
          <w:vertAlign w:val="superscript"/>
        </w:rPr>
        <w:t>3)</w:t>
      </w:r>
    </w:p>
    <w:p w:rsidR="00F86BFB" w:rsidRDefault="00F86BFB" w:rsidP="00F86BFB">
      <w:pPr>
        <w:pStyle w:val="Listenabsatz"/>
        <w:numPr>
          <w:ilvl w:val="0"/>
          <w:numId w:val="9"/>
        </w:numPr>
      </w:pPr>
      <w:r w:rsidRPr="00F86BFB">
        <w:rPr>
          <w:spacing w:val="-3"/>
        </w:rPr>
        <w:t>Öffnungsdruck werk</w:t>
      </w:r>
      <w:r>
        <w:t>seitig eingestellt:</w:t>
      </w:r>
      <w:r w:rsidRPr="00F86BFB">
        <w:t xml:space="preserve">...................... </w:t>
      </w:r>
      <w:proofErr w:type="spellStart"/>
      <w:r w:rsidRPr="00F86BFB">
        <w:t>Pa</w:t>
      </w:r>
      <w:proofErr w:type="spellEnd"/>
    </w:p>
    <w:p w:rsidR="00F86BFB" w:rsidRDefault="00F86BFB" w:rsidP="00F86BFB">
      <w:r w:rsidRPr="00F86BFB">
        <w:rPr>
          <w:vertAlign w:val="superscript"/>
        </w:rPr>
        <w:t>1)</w:t>
      </w:r>
      <w:r>
        <w:t>A</w:t>
      </w:r>
      <w:r w:rsidRPr="00F86BFB">
        <w:t>ndere Werkstoffe auf Anfrage</w:t>
      </w:r>
      <w:r w:rsidRPr="00F86BFB">
        <w:rPr>
          <w:position w:val="4"/>
          <w:sz w:val="12"/>
        </w:rPr>
        <w:br/>
      </w:r>
      <w:r>
        <w:rPr>
          <w:vertAlign w:val="superscript"/>
        </w:rPr>
        <w:t>2</w:t>
      </w:r>
      <w:r w:rsidRPr="00F86BFB">
        <w:rPr>
          <w:vertAlign w:val="superscript"/>
        </w:rPr>
        <w:t>)</w:t>
      </w:r>
      <w:r w:rsidRPr="00F86BFB">
        <w:t>Größere Volumenströme durch Parallelschaltung mehrerer Klappen</w:t>
      </w:r>
      <w:r w:rsidRPr="00F86BFB">
        <w:br/>
      </w:r>
      <w:r>
        <w:rPr>
          <w:vertAlign w:val="superscript"/>
        </w:rPr>
        <w:t>3</w:t>
      </w:r>
      <w:r w:rsidRPr="00F86BFB">
        <w:rPr>
          <w:vertAlign w:val="superscript"/>
        </w:rPr>
        <w:t>)</w:t>
      </w:r>
      <w:r w:rsidRPr="00F86BFB">
        <w:t>Höhere Öffnungsdrücke möglich</w:t>
      </w:r>
    </w:p>
    <w:p w:rsidR="00F86BFB" w:rsidRDefault="00F86BFB" w:rsidP="00F86BFB"/>
    <w:p w:rsidR="00F86BFB" w:rsidRPr="001402B4" w:rsidRDefault="00F86BFB" w:rsidP="00F86BFB">
      <w:pPr>
        <w:pStyle w:val="KeinLeerraum"/>
      </w:pPr>
      <w:r w:rsidRPr="001402B4">
        <w:t>Druckentlastungsklappe, Typ KL-ETM</w:t>
      </w:r>
    </w:p>
    <w:p w:rsidR="00F86BFB" w:rsidRDefault="00F86BFB" w:rsidP="00F86BFB">
      <w:r w:rsidRPr="00F86BFB">
        <w:t>Selbsttätige gewichtsbelastete Druckentlastungsklappe mit Gehäuse aus verzinktem Stahlblech</w:t>
      </w:r>
      <w:r w:rsidRPr="00F86BFB">
        <w:rPr>
          <w:vertAlign w:val="superscript"/>
        </w:rPr>
        <w:t>1)</w:t>
      </w:r>
      <w:r w:rsidRPr="00F86BFB">
        <w:t xml:space="preserve"> und einteiligem horizontal gelagertem Klappenblatt aus Aluminium zur Entlastung von kleinen Volumenströmen bei kleinen Öffnungsdrücken.</w:t>
      </w:r>
    </w:p>
    <w:p w:rsidR="00F86BFB" w:rsidRPr="00F86BFB" w:rsidRDefault="00F86BFB" w:rsidP="00F86BFB">
      <w:pPr>
        <w:pStyle w:val="KeinLeerraum"/>
      </w:pPr>
      <w:r w:rsidRPr="00F86BFB">
        <w:t>Merkmale</w:t>
      </w:r>
    </w:p>
    <w:p w:rsidR="00F86BFB" w:rsidRPr="00F86BFB" w:rsidRDefault="00F86BFB" w:rsidP="00AA4454">
      <w:pPr>
        <w:pStyle w:val="Listenabsatz"/>
        <w:numPr>
          <w:ilvl w:val="0"/>
          <w:numId w:val="10"/>
        </w:numPr>
        <w:spacing w:before="0" w:beforeAutospacing="0"/>
      </w:pPr>
      <w:r w:rsidRPr="00F86BFB">
        <w:t>Öffnet bei Erreichen des eingestellten</w:t>
      </w:r>
      <w:r>
        <w:t xml:space="preserve"> </w:t>
      </w:r>
      <w:r w:rsidRPr="00F86BFB">
        <w:t>Öffnungsdruckes</w:t>
      </w:r>
    </w:p>
    <w:p w:rsidR="00F86BFB" w:rsidRPr="00F86BFB" w:rsidRDefault="00F86BFB" w:rsidP="00F86BFB">
      <w:pPr>
        <w:pStyle w:val="Listenabsatz"/>
        <w:numPr>
          <w:ilvl w:val="0"/>
          <w:numId w:val="10"/>
        </w:numPr>
      </w:pPr>
      <w:r w:rsidRPr="00F86BFB">
        <w:t>Quasi gleicher Differenzdruck unabhängig vom Volumenstrom (Regelfunktion)</w:t>
      </w:r>
    </w:p>
    <w:p w:rsidR="00F86BFB" w:rsidRPr="00F86BFB" w:rsidRDefault="00F86BFB" w:rsidP="00F86BFB">
      <w:pPr>
        <w:pStyle w:val="Listenabsatz"/>
        <w:numPr>
          <w:ilvl w:val="0"/>
          <w:numId w:val="10"/>
        </w:numPr>
      </w:pPr>
      <w:r w:rsidRPr="00F86BFB">
        <w:t xml:space="preserve">Schließt selbsttätig bei Unterschreitung des Öffnungsdruckes </w:t>
      </w:r>
    </w:p>
    <w:p w:rsidR="00F86BFB" w:rsidRDefault="00F86BFB" w:rsidP="00F86BFB">
      <w:pPr>
        <w:pStyle w:val="Listenabsatz"/>
        <w:numPr>
          <w:ilvl w:val="0"/>
          <w:numId w:val="10"/>
        </w:numPr>
      </w:pPr>
      <w:r w:rsidRPr="00F86BFB">
        <w:t>Einstellen des Öffnungsdruckes durch Variation der Rückstellmasse</w:t>
      </w:r>
    </w:p>
    <w:p w:rsidR="00F86BFB" w:rsidRPr="00F86BFB" w:rsidRDefault="00F86BFB" w:rsidP="00F86BFB">
      <w:pPr>
        <w:pStyle w:val="KeinLeerraum"/>
      </w:pPr>
      <w:r w:rsidRPr="00F86BFB">
        <w:t>Technische Daten</w:t>
      </w:r>
    </w:p>
    <w:p w:rsidR="00F86BFB" w:rsidRPr="00F86BFB" w:rsidRDefault="00F86BFB" w:rsidP="00AA4454">
      <w:pPr>
        <w:pStyle w:val="Listenabsatz"/>
        <w:numPr>
          <w:ilvl w:val="0"/>
          <w:numId w:val="11"/>
        </w:numPr>
        <w:spacing w:before="0" w:beforeAutospacing="0"/>
      </w:pPr>
      <w:r>
        <w:t xml:space="preserve">Fabrikat: </w:t>
      </w:r>
      <w:r w:rsidR="00707955">
        <w:t>Krantz</w:t>
      </w:r>
      <w:r w:rsidRPr="00F86BFB">
        <w:t xml:space="preserve"> </w:t>
      </w:r>
    </w:p>
    <w:p w:rsidR="001402B4" w:rsidRDefault="00F86BFB" w:rsidP="001402B4">
      <w:pPr>
        <w:pStyle w:val="Listenabsatz"/>
        <w:numPr>
          <w:ilvl w:val="0"/>
          <w:numId w:val="11"/>
        </w:numPr>
      </w:pPr>
      <w:r>
        <w:t xml:space="preserve">Typ: </w:t>
      </w:r>
      <w:r w:rsidRPr="00F86BFB">
        <w:t>KL-ETM</w:t>
      </w:r>
    </w:p>
    <w:p w:rsidR="00F86BFB" w:rsidRPr="001402B4" w:rsidRDefault="00F86BFB" w:rsidP="001402B4">
      <w:pPr>
        <w:pStyle w:val="Listenabsatz"/>
        <w:numPr>
          <w:ilvl w:val="0"/>
          <w:numId w:val="11"/>
        </w:numPr>
      </w:pPr>
      <w:r w:rsidRPr="00F86BFB">
        <w:t>Kla</w:t>
      </w:r>
      <w:r>
        <w:t xml:space="preserve">ppengröße B x H x T: </w:t>
      </w:r>
      <w:r w:rsidRPr="001402B4">
        <w:rPr>
          <w:spacing w:val="-2"/>
        </w:rPr>
        <w:t>250 x 150 x 250 mm</w:t>
      </w:r>
    </w:p>
    <w:p w:rsidR="001402B4" w:rsidRDefault="00F86BFB" w:rsidP="001402B4">
      <w:pPr>
        <w:pStyle w:val="Listenabsatz"/>
        <w:numPr>
          <w:ilvl w:val="0"/>
          <w:numId w:val="11"/>
        </w:numPr>
      </w:pPr>
      <w:r>
        <w:t xml:space="preserve">Gewicht: </w:t>
      </w:r>
      <w:r w:rsidRPr="00F86BFB">
        <w:t>ca. 3,5 kg</w:t>
      </w:r>
    </w:p>
    <w:p w:rsidR="001402B4" w:rsidRDefault="00F86BFB" w:rsidP="001402B4">
      <w:pPr>
        <w:pStyle w:val="Listenabsatz"/>
        <w:numPr>
          <w:ilvl w:val="0"/>
          <w:numId w:val="11"/>
        </w:numPr>
      </w:pPr>
      <w:r w:rsidRPr="00F86BFB">
        <w:t>Volumenstrombereich</w:t>
      </w:r>
      <w:r w:rsidR="001402B4" w:rsidRPr="00F86BFB">
        <w:rPr>
          <w:vertAlign w:val="superscript"/>
        </w:rPr>
        <w:t>2)</w:t>
      </w:r>
      <w:r w:rsidRPr="00F86BFB">
        <w:t>:</w:t>
      </w:r>
      <w:r w:rsidR="001402B4">
        <w:t xml:space="preserve"> </w:t>
      </w:r>
      <w:r w:rsidRPr="00F86BFB">
        <w:t>0 –</w:t>
      </w:r>
      <w:r>
        <w:t xml:space="preserve"> 300 m</w:t>
      </w:r>
      <w:r w:rsidR="001402B4" w:rsidRPr="00F86BFB">
        <w:rPr>
          <w:vertAlign w:val="superscript"/>
        </w:rPr>
        <w:t>3</w:t>
      </w:r>
      <w:r>
        <w:t>/h</w:t>
      </w:r>
    </w:p>
    <w:p w:rsidR="001402B4" w:rsidRPr="001402B4" w:rsidRDefault="001402B4" w:rsidP="001402B4">
      <w:pPr>
        <w:pStyle w:val="Listenabsatz"/>
        <w:numPr>
          <w:ilvl w:val="0"/>
          <w:numId w:val="11"/>
        </w:numPr>
      </w:pPr>
      <w:r>
        <w:t xml:space="preserve">Öffnungsdruck einstellbar: </w:t>
      </w:r>
      <w:r w:rsidR="00F86BFB" w:rsidRPr="00F86BFB">
        <w:t>50 – 120 Pa</w:t>
      </w:r>
      <w:r>
        <w:rPr>
          <w:vertAlign w:val="superscript"/>
        </w:rPr>
        <w:t>3</w:t>
      </w:r>
      <w:r w:rsidRPr="00F86BFB">
        <w:rPr>
          <w:vertAlign w:val="superscript"/>
        </w:rPr>
        <w:t>)</w:t>
      </w:r>
    </w:p>
    <w:p w:rsidR="00F86BFB" w:rsidRPr="001402B4" w:rsidRDefault="00F86BFB" w:rsidP="001402B4">
      <w:pPr>
        <w:pStyle w:val="Listenabsatz"/>
        <w:numPr>
          <w:ilvl w:val="0"/>
          <w:numId w:val="11"/>
        </w:numPr>
      </w:pPr>
      <w:r w:rsidRPr="001402B4">
        <w:rPr>
          <w:spacing w:val="-2"/>
        </w:rPr>
        <w:t>Öffnungsdruck werk</w:t>
      </w:r>
      <w:r>
        <w:t>seitig eingestellt:.</w:t>
      </w:r>
      <w:r w:rsidRPr="00F86BFB">
        <w:t xml:space="preserve">..................... </w:t>
      </w:r>
      <w:proofErr w:type="spellStart"/>
      <w:r w:rsidRPr="00F86BFB">
        <w:t>Pa</w:t>
      </w:r>
      <w:proofErr w:type="spellEnd"/>
    </w:p>
    <w:p w:rsidR="001402B4" w:rsidRDefault="001402B4" w:rsidP="001402B4">
      <w:r w:rsidRPr="00F86BFB">
        <w:rPr>
          <w:vertAlign w:val="superscript"/>
        </w:rPr>
        <w:t>1)</w:t>
      </w:r>
      <w:r>
        <w:t>A</w:t>
      </w:r>
      <w:r w:rsidRPr="00F86BFB">
        <w:t>ndere Werkstoffe auf Anfrage</w:t>
      </w:r>
      <w:r w:rsidRPr="00F86BFB">
        <w:rPr>
          <w:position w:val="4"/>
          <w:sz w:val="12"/>
        </w:rPr>
        <w:br/>
      </w:r>
      <w:r>
        <w:rPr>
          <w:vertAlign w:val="superscript"/>
        </w:rPr>
        <w:t>2</w:t>
      </w:r>
      <w:r w:rsidRPr="00F86BFB">
        <w:rPr>
          <w:vertAlign w:val="superscript"/>
        </w:rPr>
        <w:t>)</w:t>
      </w:r>
      <w:r w:rsidRPr="00F86BFB">
        <w:t>Größere Volumenströme durch Parallelschaltung mehrerer Klappen</w:t>
      </w:r>
      <w:r w:rsidRPr="00F86BFB">
        <w:br/>
      </w:r>
      <w:r>
        <w:rPr>
          <w:vertAlign w:val="superscript"/>
        </w:rPr>
        <w:t>3</w:t>
      </w:r>
      <w:r w:rsidRPr="00F86BFB">
        <w:rPr>
          <w:vertAlign w:val="superscript"/>
        </w:rPr>
        <w:t>)</w:t>
      </w:r>
      <w:r w:rsidRPr="00F86BFB">
        <w:t>Höhere Öffnungsdrücke möglich</w:t>
      </w:r>
    </w:p>
    <w:p w:rsidR="00F86BFB" w:rsidRDefault="00F86BFB" w:rsidP="00F86BFB">
      <w:pPr>
        <w:rPr>
          <w:rFonts w:ascii="Swis721 Cn BT" w:hAnsi="Swis721 Cn BT" w:cs="Swis721 Cn BT"/>
          <w:spacing w:val="3"/>
          <w:sz w:val="15"/>
          <w:szCs w:val="15"/>
        </w:rPr>
      </w:pPr>
    </w:p>
    <w:p w:rsidR="00F86BFB" w:rsidRDefault="00F86BFB" w:rsidP="00F86BFB">
      <w:r>
        <w:t>Technische Änderungen vorbehalten</w:t>
      </w:r>
      <w:r w:rsidR="00A86E59">
        <w:t>!</w:t>
      </w:r>
    </w:p>
    <w:p w:rsidR="00F86BFB" w:rsidRDefault="00F86BFB" w:rsidP="00F86BFB">
      <w:pPr>
        <w:rPr>
          <w:rFonts w:asciiTheme="minorHAnsi" w:hAnsiTheme="minorHAnsi" w:cstheme="minorHAnsi"/>
        </w:rPr>
      </w:pPr>
    </w:p>
    <w:p w:rsidR="00663E39" w:rsidRDefault="00663E39" w:rsidP="00F86BFB">
      <w:pPr>
        <w:rPr>
          <w:rFonts w:asciiTheme="minorHAnsi" w:hAnsiTheme="minorHAnsi" w:cstheme="minorHAnsi"/>
        </w:rPr>
      </w:pPr>
    </w:p>
    <w:p w:rsidR="00663E39" w:rsidRDefault="00663E39" w:rsidP="00F86BFB">
      <w:pPr>
        <w:rPr>
          <w:rFonts w:asciiTheme="minorHAnsi" w:hAnsiTheme="minorHAnsi" w:cstheme="minorHAnsi"/>
        </w:rPr>
      </w:pPr>
    </w:p>
    <w:p w:rsidR="00663E39" w:rsidRDefault="00663E39" w:rsidP="00663E39">
      <w:pPr>
        <w:spacing w:before="0" w:after="0"/>
        <w:rPr>
          <w:rFonts w:asciiTheme="minorHAnsi" w:hAnsiTheme="minorHAnsi" w:cstheme="minorHAnsi"/>
          <w:b/>
        </w:rPr>
      </w:pPr>
      <w:r>
        <w:rPr>
          <w:rFonts w:asciiTheme="minorHAnsi" w:hAnsiTheme="minorHAnsi" w:cstheme="minorHAnsi"/>
          <w:b/>
        </w:rPr>
        <w:lastRenderedPageBreak/>
        <w:t>Krantz GmbH</w:t>
      </w:r>
    </w:p>
    <w:p w:rsidR="00663E39" w:rsidRDefault="00663E39" w:rsidP="00663E39">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Deutschland</w:t>
      </w:r>
    </w:p>
    <w:p w:rsidR="00663E39" w:rsidRDefault="00663E39" w:rsidP="00663E39">
      <w:pPr>
        <w:spacing w:before="0" w:after="0"/>
        <w:rPr>
          <w:rFonts w:asciiTheme="minorHAnsi" w:hAnsiTheme="minorHAnsi" w:cstheme="minorHAnsi"/>
        </w:rPr>
      </w:pPr>
      <w:r>
        <w:rPr>
          <w:rFonts w:asciiTheme="minorHAnsi" w:hAnsiTheme="minorHAnsi" w:cstheme="minorHAnsi"/>
        </w:rPr>
        <w:t>Tel.: +49 241 434-1</w:t>
      </w:r>
    </w:p>
    <w:p w:rsidR="00663E39" w:rsidRDefault="00663E39" w:rsidP="00663E39">
      <w:pPr>
        <w:spacing w:before="0" w:after="0"/>
        <w:rPr>
          <w:rFonts w:asciiTheme="minorHAnsi" w:hAnsiTheme="minorHAnsi" w:cstheme="minorHAnsi"/>
        </w:rPr>
      </w:pPr>
      <w:r>
        <w:rPr>
          <w:rFonts w:asciiTheme="minorHAnsi" w:hAnsiTheme="minorHAnsi" w:cstheme="minorHAnsi"/>
        </w:rPr>
        <w:t>Fax: +49 241 434-500</w:t>
      </w:r>
    </w:p>
    <w:p w:rsidR="00663E39" w:rsidRPr="00D5008E" w:rsidRDefault="00663E39" w:rsidP="00663E39">
      <w:pPr>
        <w:spacing w:before="0" w:after="0"/>
        <w:rPr>
          <w:rFonts w:asciiTheme="minorHAnsi" w:hAnsiTheme="minorHAnsi" w:cstheme="minorHAnsi"/>
        </w:rPr>
      </w:pPr>
      <w:r>
        <w:rPr>
          <w:rFonts w:asciiTheme="minorHAnsi" w:hAnsiTheme="minorHAnsi" w:cstheme="minorHAnsi"/>
        </w:rPr>
        <w:t>info.filter@krantz.de | www.krantz.de</w:t>
      </w:r>
      <w:bookmarkStart w:id="0" w:name="_GoBack"/>
      <w:bookmarkEnd w:id="0"/>
    </w:p>
    <w:sectPr w:rsidR="00663E39" w:rsidRPr="00D5008E" w:rsidSect="001402B4">
      <w:pgSz w:w="11906" w:h="16838" w:code="9"/>
      <w:pgMar w:top="1843" w:right="1417" w:bottom="28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084B"/>
    <w:multiLevelType w:val="hybridMultilevel"/>
    <w:tmpl w:val="CB12E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6558D3"/>
    <w:multiLevelType w:val="hybridMultilevel"/>
    <w:tmpl w:val="D2882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9B3333"/>
    <w:multiLevelType w:val="hybridMultilevel"/>
    <w:tmpl w:val="FEDE2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8D80579"/>
    <w:multiLevelType w:val="hybridMultilevel"/>
    <w:tmpl w:val="287A2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8F433D4"/>
    <w:multiLevelType w:val="hybridMultilevel"/>
    <w:tmpl w:val="117E5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2A5057"/>
    <w:multiLevelType w:val="hybridMultilevel"/>
    <w:tmpl w:val="B192D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103CEC"/>
    <w:multiLevelType w:val="hybridMultilevel"/>
    <w:tmpl w:val="F5404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0E1389C"/>
    <w:multiLevelType w:val="hybridMultilevel"/>
    <w:tmpl w:val="E2D0E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6D22DA1"/>
    <w:multiLevelType w:val="hybridMultilevel"/>
    <w:tmpl w:val="6186E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E8F0205"/>
    <w:multiLevelType w:val="hybridMultilevel"/>
    <w:tmpl w:val="652E2F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4"/>
  </w:num>
  <w:num w:numId="5">
    <w:abstractNumId w:val="7"/>
  </w:num>
  <w:num w:numId="6">
    <w:abstractNumId w:val="2"/>
  </w:num>
  <w:num w:numId="7">
    <w:abstractNumId w:val="1"/>
  </w:num>
  <w:num w:numId="8">
    <w:abstractNumId w:val="0"/>
  </w:num>
  <w:num w:numId="9">
    <w:abstractNumId w:val="6"/>
  </w:num>
  <w:num w:numId="10">
    <w:abstractNumId w:val="9"/>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130EC"/>
    <w:rsid w:val="0000037E"/>
    <w:rsid w:val="000A6B81"/>
    <w:rsid w:val="000E0155"/>
    <w:rsid w:val="001130EC"/>
    <w:rsid w:val="001153DD"/>
    <w:rsid w:val="001313E8"/>
    <w:rsid w:val="001402B4"/>
    <w:rsid w:val="00192617"/>
    <w:rsid w:val="0029487D"/>
    <w:rsid w:val="0031363F"/>
    <w:rsid w:val="00327581"/>
    <w:rsid w:val="00365E9C"/>
    <w:rsid w:val="003C09F9"/>
    <w:rsid w:val="004511AD"/>
    <w:rsid w:val="00540083"/>
    <w:rsid w:val="00592455"/>
    <w:rsid w:val="005A0398"/>
    <w:rsid w:val="00663E39"/>
    <w:rsid w:val="00696F3F"/>
    <w:rsid w:val="006F33CA"/>
    <w:rsid w:val="00707955"/>
    <w:rsid w:val="00726815"/>
    <w:rsid w:val="00742798"/>
    <w:rsid w:val="007627DB"/>
    <w:rsid w:val="00767E5A"/>
    <w:rsid w:val="00776F5F"/>
    <w:rsid w:val="007A08BF"/>
    <w:rsid w:val="007F54C1"/>
    <w:rsid w:val="00927851"/>
    <w:rsid w:val="00942E76"/>
    <w:rsid w:val="009D3D61"/>
    <w:rsid w:val="00A316F8"/>
    <w:rsid w:val="00A52C34"/>
    <w:rsid w:val="00A86E59"/>
    <w:rsid w:val="00AA4454"/>
    <w:rsid w:val="00AE1160"/>
    <w:rsid w:val="00C87042"/>
    <w:rsid w:val="00CE5A29"/>
    <w:rsid w:val="00D46ABF"/>
    <w:rsid w:val="00D5008E"/>
    <w:rsid w:val="00DA00A3"/>
    <w:rsid w:val="00DC04B6"/>
    <w:rsid w:val="00E3692E"/>
    <w:rsid w:val="00EA0EFF"/>
    <w:rsid w:val="00F15E6A"/>
    <w:rsid w:val="00F777F2"/>
    <w:rsid w:val="00F86B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3CA"/>
    <w:pPr>
      <w:spacing w:before="100" w:beforeAutospacing="1" w:after="100" w:afterAutospacing="1" w:line="240" w:lineRule="auto"/>
      <w:contextualSpacing/>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autoRedefine/>
    <w:uiPriority w:val="1"/>
    <w:qFormat/>
    <w:rsid w:val="006F33CA"/>
    <w:pPr>
      <w:spacing w:after="0" w:line="240" w:lineRule="auto"/>
      <w:contextualSpacing/>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1">
    <w:name w:val="Subheading 1"/>
    <w:basedOn w:val="Standard"/>
    <w:uiPriority w:val="99"/>
    <w:rsid w:val="00C87042"/>
    <w:pPr>
      <w:autoSpaceDE w:val="0"/>
      <w:autoSpaceDN w:val="0"/>
      <w:adjustRightInd w:val="0"/>
      <w:spacing w:before="0" w:after="0" w:line="240" w:lineRule="atLeast"/>
      <w:textAlignment w:val="center"/>
    </w:pPr>
    <w:rPr>
      <w:rFonts w:ascii="Swis721 Ex BT" w:hAnsi="Swis721 Ex BT" w:cs="Swis721 Ex BT"/>
      <w:b/>
      <w:bCs/>
      <w:color w:val="0032B2"/>
      <w:spacing w:val="1"/>
      <w:sz w:val="21"/>
      <w:szCs w:val="21"/>
    </w:rPr>
  </w:style>
  <w:style w:type="paragraph" w:customStyle="1" w:styleId="Subheading2">
    <w:name w:val="Subheading 2"/>
    <w:basedOn w:val="Standard"/>
    <w:uiPriority w:val="99"/>
    <w:rsid w:val="00C87042"/>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C87042"/>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character" w:customStyle="1" w:styleId="Hochgestellt">
    <w:name w:val="Hochgestellt"/>
    <w:uiPriority w:val="99"/>
    <w:rsid w:val="00C87042"/>
    <w:rPr>
      <w:position w:val="4"/>
      <w:sz w:val="12"/>
      <w:szCs w:val="12"/>
    </w:rPr>
  </w:style>
  <w:style w:type="paragraph" w:customStyle="1" w:styleId="MerkmaleWrfel">
    <w:name w:val="Merkmale + Würfel"/>
    <w:basedOn w:val="Standard"/>
    <w:uiPriority w:val="99"/>
    <w:rsid w:val="00C87042"/>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
    <w:name w:val="Tabelle"/>
    <w:basedOn w:val="EinfacherAbsatz"/>
    <w:uiPriority w:val="99"/>
    <w:rsid w:val="00C87042"/>
    <w:pPr>
      <w:jc w:val="left"/>
    </w:pPr>
  </w:style>
  <w:style w:type="paragraph" w:customStyle="1" w:styleId="Graphictext">
    <w:name w:val="Graphic text"/>
    <w:basedOn w:val="Standard"/>
    <w:uiPriority w:val="99"/>
    <w:rsid w:val="00C87042"/>
    <w:pPr>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AufzhlungszeichenundNummerierung1AufzhlungszeichenundNummerierung">
    <w:name w:val="Aufzählungszeichen und Nummerierung1 (Aufzählungszeichen und Nummerierung)"/>
    <w:uiPriority w:val="99"/>
    <w:rsid w:val="00F15E6A"/>
    <w:rPr>
      <w:color w:val="0032B2"/>
    </w:rPr>
  </w:style>
  <w:style w:type="paragraph" w:customStyle="1" w:styleId="Adresstexts">
    <w:name w:val="Adress texts"/>
    <w:basedOn w:val="Standard"/>
    <w:uiPriority w:val="99"/>
    <w:rsid w:val="00F86BFB"/>
    <w:pPr>
      <w:tabs>
        <w:tab w:val="left" w:pos="510"/>
      </w:tabs>
      <w:autoSpaceDE w:val="0"/>
      <w:autoSpaceDN w:val="0"/>
      <w:adjustRightInd w:val="0"/>
      <w:spacing w:before="0" w:after="0" w:line="246" w:lineRule="atLeast"/>
      <w:contextualSpacing w:val="0"/>
      <w:textAlignment w:val="center"/>
    </w:pPr>
    <w:rPr>
      <w:rFonts w:ascii="Swis721 BT" w:hAnsi="Swis721 BT" w:cs="Swis721 BT"/>
      <w:color w:val="FFFF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29CD1FA7FA1F40BDB06E7281E510AB" ma:contentTypeVersion="1" ma:contentTypeDescription="Ein neues Dokument erstellen." ma:contentTypeScope="" ma:versionID="b5d27349524638230642f3f6b383c228">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BF8EB-B4C9-4552-A09F-41BBCF8D5EF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CC362F-FFA3-4D15-AD67-2A41B1E04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298B3-986A-4C29-A1E0-4023CBD4E5DB}">
  <ds:schemaRefs>
    <ds:schemaRef ds:uri="http://schemas.microsoft.com/sharepoint/v3/contenttype/forms"/>
  </ds:schemaRefs>
</ds:datastoreItem>
</file>

<file path=customXml/itemProps4.xml><?xml version="1.0" encoding="utf-8"?>
<ds:datastoreItem xmlns:ds="http://schemas.openxmlformats.org/officeDocument/2006/customXml" ds:itemID="{31F0C979-8305-43D1-94F5-89E8FED0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5</cp:revision>
  <dcterms:created xsi:type="dcterms:W3CDTF">2012-11-19T08:07:00Z</dcterms:created>
  <dcterms:modified xsi:type="dcterms:W3CDTF">2018-01-05T13:20:00Z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0x0101005229CD1FA7FA1F40BDB06E7281E510AB</vt:lpwstr>
  </property>
</Properties>
</file>