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EC" w:rsidRDefault="001130EC" w:rsidP="000E0155">
      <w:pPr>
        <w:pStyle w:val="KeinLeerraum"/>
      </w:pPr>
      <w:r w:rsidRPr="000E015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-720090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Pr="000E0155">
        <w:t>Ausschreibungstext</w:t>
      </w:r>
    </w:p>
    <w:p w:rsidR="000E0155" w:rsidRPr="000E0155" w:rsidRDefault="000E0155" w:rsidP="000E0155">
      <w:pPr>
        <w:pStyle w:val="KeinLeerraum"/>
      </w:pPr>
    </w:p>
    <w:p w:rsidR="006E0630" w:rsidRDefault="006E0630" w:rsidP="006E0630">
      <w:pPr>
        <w:pStyle w:val="KeinLeerraum"/>
      </w:pPr>
      <w:r>
        <w:t>Gasdichte Rechteckige Absperrklappe, Typ GD-R</w:t>
      </w:r>
    </w:p>
    <w:p w:rsidR="006E0630" w:rsidRDefault="006E0630" w:rsidP="006E0630">
      <w:r>
        <w:t xml:space="preserve">in stabiler und wartungsfreier Ausführung, konzipiert für Systeme mit hohen Dichtheitsanforderungen. Die zulässigen </w:t>
      </w:r>
      <w:proofErr w:type="spellStart"/>
      <w:r>
        <w:t>Leckraten</w:t>
      </w:r>
      <w:proofErr w:type="spellEnd"/>
      <w:r>
        <w:t xml:space="preserve"> gem. DIN</w:t>
      </w:r>
      <w:r>
        <w:rPr>
          <w:rFonts w:ascii="Swis721 Lt BT" w:hAnsi="Swis721 Lt BT" w:cs="Swis721 Lt BT"/>
        </w:rPr>
        <w:t xml:space="preserve"> </w:t>
      </w:r>
      <w:r>
        <w:t>25</w:t>
      </w:r>
      <w:r>
        <w:rPr>
          <w:rFonts w:ascii="Swis721 Lt BT" w:hAnsi="Swis721 Lt BT" w:cs="Swis721 Lt BT"/>
        </w:rPr>
        <w:t xml:space="preserve"> </w:t>
      </w:r>
      <w:r>
        <w:t>496 in Bezug auf Klappengehäuse und Klappensitz werden weit unterschritten</w:t>
      </w:r>
    </w:p>
    <w:p w:rsidR="006E0630" w:rsidRDefault="006E0630" w:rsidP="006E0630">
      <w:pPr>
        <w:pStyle w:val="Listenabsatz"/>
        <w:numPr>
          <w:ilvl w:val="0"/>
          <w:numId w:val="5"/>
        </w:numPr>
      </w:pPr>
      <w:r>
        <w:t>Die Klappe ist so dimensioniert, dass sie mindestens dem 1,1-fachen des zulässigen Betriebsdruckes ohne Beeinträchtigung ihrer Funktion widersteht</w:t>
      </w:r>
    </w:p>
    <w:p w:rsidR="006E0630" w:rsidRDefault="006E0630" w:rsidP="006E0630">
      <w:pPr>
        <w:pStyle w:val="Listenabsatz"/>
        <w:numPr>
          <w:ilvl w:val="0"/>
          <w:numId w:val="5"/>
        </w:numPr>
      </w:pPr>
      <w:r>
        <w:t>Die Dichtheit des Sitzes des Klappenblattes ist im eingebauten Zustand prüfbar</w:t>
      </w:r>
    </w:p>
    <w:p w:rsidR="006E0630" w:rsidRDefault="006E0630" w:rsidP="006E0630">
      <w:pPr>
        <w:pStyle w:val="Listenabsatz"/>
        <w:numPr>
          <w:ilvl w:val="0"/>
          <w:numId w:val="5"/>
        </w:numPr>
      </w:pPr>
      <w:r>
        <w:t xml:space="preserve">Die Stellung des Klappenblattes ist von außen sichtbar und wird in der jeweiligen Position „Auf“ bzw. „Zu“ durch </w:t>
      </w:r>
      <w:proofErr w:type="spellStart"/>
      <w:r>
        <w:t>Verknieung</w:t>
      </w:r>
      <w:proofErr w:type="spellEnd"/>
      <w:r>
        <w:t xml:space="preserve"> des Hebelmechanismus arretiert</w:t>
      </w:r>
    </w:p>
    <w:p w:rsidR="006E0630" w:rsidRDefault="006E0630" w:rsidP="006E0630">
      <w:pPr>
        <w:pStyle w:val="Listenabsatz"/>
        <w:numPr>
          <w:ilvl w:val="0"/>
          <w:numId w:val="5"/>
        </w:numPr>
      </w:pPr>
      <w:r>
        <w:t xml:space="preserve">Zur Sicherstellung einer guten Dekontaminierbarkeit sind Schweißnähte an medienberührten Teilen </w:t>
      </w:r>
      <w:proofErr w:type="spellStart"/>
      <w:r>
        <w:t>spaltfei</w:t>
      </w:r>
      <w:proofErr w:type="spellEnd"/>
      <w:r>
        <w:t xml:space="preserve"> und durchgehend ausgeführt</w:t>
      </w:r>
    </w:p>
    <w:p w:rsidR="001130EC" w:rsidRPr="00742798" w:rsidRDefault="001130EC" w:rsidP="00EA0EFF">
      <w:pPr>
        <w:pStyle w:val="KeinLeerraum"/>
      </w:pPr>
      <w:r w:rsidRPr="00742798">
        <w:t>Ausführung</w:t>
      </w:r>
    </w:p>
    <w:p w:rsidR="006E0630" w:rsidRDefault="006E0630" w:rsidP="006E0630">
      <w:pPr>
        <w:pStyle w:val="Listenabsatz"/>
        <w:numPr>
          <w:ilvl w:val="0"/>
          <w:numId w:val="6"/>
        </w:numPr>
      </w:pPr>
      <w:r>
        <w:t>Stabiles Klappengehäuse aus Edelstahl in gasdichter Ausführung nach den Dichtheitsanforderungen der DIN</w:t>
      </w:r>
      <w:r>
        <w:rPr>
          <w:rFonts w:ascii="Swis721 Lt BT" w:hAnsi="Swis721 Lt BT" w:cs="Swis721 Lt BT"/>
        </w:rPr>
        <w:t xml:space="preserve"> </w:t>
      </w:r>
      <w:r>
        <w:t>25</w:t>
      </w:r>
      <w:r>
        <w:rPr>
          <w:rFonts w:ascii="Swis721 Lt BT" w:hAnsi="Swis721 Lt BT" w:cs="Swis721 Lt BT"/>
        </w:rPr>
        <w:t xml:space="preserve"> </w:t>
      </w:r>
      <w:r>
        <w:t>496, Tabelle</w:t>
      </w:r>
      <w:r>
        <w:rPr>
          <w:rFonts w:ascii="Swis721 Lt BT" w:hAnsi="Swis721 Lt BT" w:cs="Swis721 Lt BT"/>
        </w:rPr>
        <w:t xml:space="preserve"> </w:t>
      </w:r>
      <w:r>
        <w:t>3, mit beidseitigen Anschlussflanschen</w:t>
      </w:r>
    </w:p>
    <w:p w:rsidR="006E0630" w:rsidRDefault="006E0630" w:rsidP="006E0630">
      <w:pPr>
        <w:pStyle w:val="Listenabsatz"/>
        <w:numPr>
          <w:ilvl w:val="0"/>
          <w:numId w:val="6"/>
        </w:numPr>
      </w:pPr>
      <w:r>
        <w:t>Edelstahlplatte mit kreisrunder Öffnung und zwei umlaufenden Dichtleisten aus Silikon, ausgeführt als Prüfrille zum Nachweis der spezifizierten Dichtheit des Sitzes des Klappenblattes. Zur Durchführung des Tests Verbindung der Prüfrille über Schnellverschlusskupplung, angeordnet außen am Klappengehäuse, mit einem geeigneten Dichtsitzprüfgerät</w:t>
      </w:r>
    </w:p>
    <w:p w:rsidR="006E0630" w:rsidRDefault="006E0630" w:rsidP="006E0630">
      <w:pPr>
        <w:pStyle w:val="Listenabsatz"/>
        <w:numPr>
          <w:ilvl w:val="0"/>
          <w:numId w:val="6"/>
        </w:numPr>
      </w:pPr>
      <w:r>
        <w:t>Rundes Klappenblatt aus Edelstahl, von einem kinematischen Hebelsystem geführt. Das speziell gestaltete Hebelsystem aus Edelstahl garantiert in den Endlagen „Offen“ und „Geschlossen“ die Stellung des Klappenblattes jeweils über Kniehebel.</w:t>
      </w:r>
    </w:p>
    <w:p w:rsidR="006E0630" w:rsidRDefault="006E0630" w:rsidP="006E0630">
      <w:pPr>
        <w:pStyle w:val="Listenabsatz"/>
        <w:numPr>
          <w:ilvl w:val="0"/>
          <w:numId w:val="6"/>
        </w:numPr>
      </w:pPr>
      <w:r>
        <w:t>Beim Öffnen der Klappe erfolgt über das Hebelsystem, zum Schutz der dauerelastischen und alterungsbeständigen Dichtung, zunächst ein Parallelhub, ehe der Öff</w:t>
      </w:r>
      <w:r w:rsidR="00831BCC">
        <w:t>n</w:t>
      </w:r>
      <w:r>
        <w:t>ungsvorgang in eine Drehbewegung übergeht.</w:t>
      </w:r>
    </w:p>
    <w:p w:rsidR="006E0630" w:rsidRDefault="006E0630" w:rsidP="006E0630">
      <w:pPr>
        <w:pStyle w:val="Listenabsatz"/>
        <w:numPr>
          <w:ilvl w:val="0"/>
          <w:numId w:val="6"/>
        </w:numPr>
      </w:pPr>
      <w:r>
        <w:t xml:space="preserve">Kraftübertrag zum Öffnen bzw. Schließen über außenliegenden Antrieb, Welle und Hebelsystem zum Klappenblatt. Gehäusedurchführung der Welle </w:t>
      </w:r>
      <w:proofErr w:type="spellStart"/>
      <w:r>
        <w:t>gasdicht</w:t>
      </w:r>
      <w:proofErr w:type="spellEnd"/>
      <w:r>
        <w:t>, Wellendichtung aus Perbunan.</w:t>
      </w:r>
    </w:p>
    <w:p w:rsidR="006E0630" w:rsidRDefault="006E0630" w:rsidP="006E0630">
      <w:pPr>
        <w:pStyle w:val="Listenabsatz"/>
        <w:numPr>
          <w:ilvl w:val="0"/>
          <w:numId w:val="6"/>
        </w:numPr>
      </w:pPr>
      <w:r>
        <w:t>Klappenantrieb nach Wahl elektrisch, pneumatisch oder manuell. Der elektrische Antrieb ist auch mit Federrückstellung (</w:t>
      </w:r>
      <w:proofErr w:type="spellStart"/>
      <w:r>
        <w:t>fail</w:t>
      </w:r>
      <w:proofErr w:type="spellEnd"/>
      <w:r>
        <w:t>-safe) möglich.</w:t>
      </w:r>
    </w:p>
    <w:p w:rsidR="001130EC" w:rsidRPr="00742798" w:rsidRDefault="001130EC" w:rsidP="001130EC">
      <w:pPr>
        <w:autoSpaceDE w:val="0"/>
        <w:autoSpaceDN w:val="0"/>
        <w:adjustRightInd w:val="0"/>
        <w:spacing w:after="0"/>
        <w:rPr>
          <w:rFonts w:asciiTheme="minorHAnsi" w:hAnsiTheme="minorHAnsi" w:cstheme="minorHAnsi"/>
          <w:b/>
          <w:bCs/>
          <w:color w:val="000000"/>
        </w:rPr>
      </w:pPr>
      <w:r w:rsidRPr="00742798">
        <w:rPr>
          <w:rFonts w:asciiTheme="minorHAnsi" w:hAnsiTheme="minorHAnsi" w:cstheme="minorHAnsi"/>
          <w:b/>
          <w:bCs/>
          <w:color w:val="000000"/>
        </w:rPr>
        <w:t>Technische Daten</w:t>
      </w:r>
    </w:p>
    <w:p w:rsidR="006E0630" w:rsidRDefault="00DD3540" w:rsidP="00013F2E">
      <w:pPr>
        <w:pStyle w:val="Listenabsatz"/>
        <w:numPr>
          <w:ilvl w:val="0"/>
          <w:numId w:val="9"/>
        </w:numPr>
      </w:pPr>
      <w:r>
        <w:t>Fabrikat: Krantz</w:t>
      </w:r>
      <w:r w:rsidR="006E0630">
        <w:t xml:space="preserve"> </w:t>
      </w:r>
    </w:p>
    <w:p w:rsidR="006E0630" w:rsidRDefault="006E0630" w:rsidP="00013F2E">
      <w:pPr>
        <w:pStyle w:val="Listenabsatz"/>
        <w:numPr>
          <w:ilvl w:val="0"/>
          <w:numId w:val="9"/>
        </w:numPr>
      </w:pPr>
      <w:r>
        <w:t>Typ: GD-R</w:t>
      </w:r>
    </w:p>
    <w:p w:rsidR="006E0630" w:rsidRDefault="006E0630" w:rsidP="00013F2E">
      <w:pPr>
        <w:pStyle w:val="Listenabsatz"/>
        <w:numPr>
          <w:ilvl w:val="0"/>
          <w:numId w:val="9"/>
        </w:numPr>
      </w:pPr>
      <w:r>
        <w:t>Klappengröße B x H x T: siehe Tabelle „Nenngrößen“</w:t>
      </w:r>
    </w:p>
    <w:p w:rsidR="00013F2E" w:rsidRDefault="006E0630" w:rsidP="00013F2E">
      <w:pPr>
        <w:pStyle w:val="Listenabsatz"/>
        <w:numPr>
          <w:ilvl w:val="0"/>
          <w:numId w:val="9"/>
        </w:numPr>
      </w:pPr>
      <w:r>
        <w:t>Klappenantrieb:</w:t>
      </w:r>
      <w:r>
        <w:tab/>
        <w:t xml:space="preserve"> elektrisch / pneumatisch / manuell</w:t>
      </w:r>
    </w:p>
    <w:p w:rsidR="00013F2E" w:rsidRDefault="006E0630" w:rsidP="00013F2E">
      <w:pPr>
        <w:pStyle w:val="Listenabsatz"/>
        <w:numPr>
          <w:ilvl w:val="0"/>
          <w:numId w:val="9"/>
        </w:numPr>
      </w:pPr>
      <w:r>
        <w:t>zul. Betriebstemperatur</w:t>
      </w:r>
      <w:r>
        <w:tab/>
        <w:t>Klappe:</w:t>
      </w:r>
      <w:r>
        <w:tab/>
        <w:t xml:space="preserve"> – 40 °C bis + 100 °</w:t>
      </w:r>
      <w:r w:rsidR="00013F2E">
        <w:t>C</w:t>
      </w:r>
      <w:r w:rsidR="00013F2E" w:rsidRPr="00013F2E">
        <w:rPr>
          <w:vertAlign w:val="superscript"/>
        </w:rPr>
        <w:t>1)</w:t>
      </w:r>
    </w:p>
    <w:p w:rsidR="006E0630" w:rsidRPr="00013F2E" w:rsidRDefault="006E0630" w:rsidP="00013F2E">
      <w:pPr>
        <w:pStyle w:val="Listenabsatz"/>
        <w:numPr>
          <w:ilvl w:val="0"/>
          <w:numId w:val="9"/>
        </w:numPr>
        <w:rPr>
          <w:rStyle w:val="Hochgestellt"/>
          <w:position w:val="0"/>
          <w:sz w:val="20"/>
          <w:szCs w:val="22"/>
        </w:rPr>
      </w:pPr>
      <w:r>
        <w:t>zul. Betriebstemperatur</w:t>
      </w:r>
      <w:r>
        <w:tab/>
        <w:t xml:space="preserve"> Antrieb: – 5 °C bis + 70 °</w:t>
      </w:r>
      <w:r w:rsidR="00013F2E">
        <w:t>C</w:t>
      </w:r>
      <w:r w:rsidR="00013F2E" w:rsidRPr="00013F2E">
        <w:rPr>
          <w:vertAlign w:val="superscript"/>
        </w:rPr>
        <w:t>1)</w:t>
      </w:r>
    </w:p>
    <w:p w:rsidR="006E0630" w:rsidRDefault="006E0630" w:rsidP="00013F2E">
      <w:pPr>
        <w:pStyle w:val="Listenabsatz"/>
        <w:numPr>
          <w:ilvl w:val="0"/>
          <w:numId w:val="9"/>
        </w:numPr>
      </w:pPr>
      <w:r>
        <w:t xml:space="preserve">zul. Betriebsdruck: 10 000 </w:t>
      </w:r>
      <w:proofErr w:type="spellStart"/>
      <w:r>
        <w:t>Pa</w:t>
      </w:r>
      <w:proofErr w:type="spellEnd"/>
    </w:p>
    <w:p w:rsidR="006E0630" w:rsidRDefault="006E0630" w:rsidP="00013F2E">
      <w:pPr>
        <w:pStyle w:val="Listenabsatz"/>
        <w:numPr>
          <w:ilvl w:val="0"/>
          <w:numId w:val="9"/>
        </w:numPr>
      </w:pPr>
      <w:r>
        <w:t>z</w:t>
      </w:r>
      <w:r w:rsidR="00013F2E">
        <w:t>ul. Druckdifferenz Klappenblatt</w:t>
      </w:r>
      <w:r>
        <w:t xml:space="preserve"> in Schließrichtung: 10 000 </w:t>
      </w:r>
      <w:proofErr w:type="spellStart"/>
      <w:r>
        <w:t>Pa</w:t>
      </w:r>
      <w:proofErr w:type="spellEnd"/>
    </w:p>
    <w:p w:rsidR="006E0630" w:rsidRDefault="006E0630" w:rsidP="00013F2E">
      <w:pPr>
        <w:pStyle w:val="Listenabsatz"/>
        <w:numPr>
          <w:ilvl w:val="0"/>
          <w:numId w:val="9"/>
        </w:numPr>
      </w:pPr>
      <w:r>
        <w:t xml:space="preserve">zul. </w:t>
      </w:r>
      <w:proofErr w:type="spellStart"/>
      <w:r>
        <w:t>Leckrate</w:t>
      </w:r>
      <w:proofErr w:type="spellEnd"/>
      <w:r>
        <w:t xml:space="preserve"> Klappenblatt inkl. Dichtsitz gem. DIN 25 496: 10 l / (h </w:t>
      </w:r>
      <w:r w:rsidRPr="00013F2E">
        <w:rPr>
          <w:rFonts w:cs="Arial"/>
        </w:rPr>
        <w:t>·</w:t>
      </w:r>
      <w:r>
        <w:t xml:space="preserve"> m</w:t>
      </w:r>
      <w:r w:rsidR="00AD109B" w:rsidRPr="00AD109B">
        <w:rPr>
          <w:vertAlign w:val="superscript"/>
        </w:rPr>
        <w:t>2</w:t>
      </w:r>
      <w:r>
        <w:t>)</w:t>
      </w:r>
      <w:r w:rsidR="00AD109B">
        <w:t xml:space="preserve"> </w:t>
      </w:r>
      <w:r>
        <w:t xml:space="preserve">bei 1 bar, 20 °C </w:t>
      </w:r>
      <w:r>
        <w:br/>
        <w:t xml:space="preserve">und ∆p = 2 000 </w:t>
      </w:r>
      <w:proofErr w:type="spellStart"/>
      <w:r>
        <w:t>Pa</w:t>
      </w:r>
      <w:proofErr w:type="spellEnd"/>
    </w:p>
    <w:p w:rsidR="00013F2E" w:rsidRPr="00013F2E" w:rsidRDefault="00013F2E" w:rsidP="00013F2E">
      <w:pPr>
        <w:pStyle w:val="Listenabsatz"/>
        <w:numPr>
          <w:ilvl w:val="0"/>
          <w:numId w:val="9"/>
        </w:numPr>
        <w:rPr>
          <w:rFonts w:asciiTheme="minorHAnsi" w:hAnsiTheme="minorHAnsi" w:cstheme="minorHAnsi"/>
          <w:color w:val="000000"/>
        </w:rPr>
      </w:pPr>
      <w:r>
        <w:t xml:space="preserve">Strahlenbeständigkeit: </w:t>
      </w:r>
      <w:r w:rsidR="006E0630">
        <w:t>≤ 10</w:t>
      </w:r>
      <w:r w:rsidRPr="00013F2E">
        <w:rPr>
          <w:vertAlign w:val="superscript"/>
        </w:rPr>
        <w:t>5</w:t>
      </w:r>
      <w:r w:rsidR="006E0630">
        <w:t xml:space="preserve"> Gy</w:t>
      </w:r>
      <w:r w:rsidR="006E0630">
        <w:tab/>
      </w:r>
      <w:r>
        <w:br/>
      </w:r>
    </w:p>
    <w:p w:rsidR="006E0630" w:rsidRDefault="00013F2E" w:rsidP="00013F2E">
      <w:pPr>
        <w:ind w:left="360"/>
      </w:pPr>
      <w:r w:rsidRPr="00013F2E">
        <w:rPr>
          <w:vertAlign w:val="superscript"/>
        </w:rPr>
        <w:t>1)</w:t>
      </w:r>
      <w:r>
        <w:rPr>
          <w:vertAlign w:val="superscript"/>
        </w:rPr>
        <w:t xml:space="preserve"> </w:t>
      </w:r>
      <w:r w:rsidR="006E0630">
        <w:t>Erweiterte Betriebstemperaturbereiche</w:t>
      </w:r>
      <w:r>
        <w:t xml:space="preserve"> </w:t>
      </w:r>
      <w:r w:rsidR="006E0630">
        <w:t>auf Anfrage möglich.</w:t>
      </w:r>
    </w:p>
    <w:p w:rsidR="00AD109B" w:rsidRPr="00325D83" w:rsidRDefault="00AD109B" w:rsidP="00AD109B">
      <w:pPr>
        <w:rPr>
          <w:rFonts w:asciiTheme="minorHAnsi" w:hAnsiTheme="minorHAnsi" w:cstheme="minorHAnsi"/>
        </w:rPr>
      </w:pPr>
      <w:r>
        <w:t>Technische Änderungen vorbehalten.</w:t>
      </w:r>
    </w:p>
    <w:p w:rsidR="00AD109B" w:rsidRDefault="00AD109B" w:rsidP="00013F2E">
      <w:pPr>
        <w:ind w:left="360"/>
        <w:rPr>
          <w:rFonts w:asciiTheme="minorHAnsi" w:hAnsiTheme="minorHAnsi" w:cstheme="minorHAnsi"/>
          <w:color w:val="000000"/>
        </w:rPr>
      </w:pPr>
    </w:p>
    <w:p w:rsidR="00705855" w:rsidRDefault="00705855" w:rsidP="00705855">
      <w:pPr>
        <w:spacing w:before="0" w:after="0"/>
        <w:rPr>
          <w:rFonts w:asciiTheme="minorHAnsi" w:hAnsiTheme="minorHAnsi" w:cstheme="minorHAnsi"/>
          <w:b/>
        </w:rPr>
      </w:pPr>
      <w:r>
        <w:rPr>
          <w:rFonts w:asciiTheme="minorHAnsi" w:hAnsiTheme="minorHAnsi" w:cstheme="minorHAnsi"/>
          <w:b/>
        </w:rPr>
        <w:lastRenderedPageBreak/>
        <w:t>Krantz GmbH</w:t>
      </w:r>
    </w:p>
    <w:p w:rsidR="00705855" w:rsidRDefault="00705855" w:rsidP="00705855">
      <w:pPr>
        <w:spacing w:before="0" w:after="0"/>
        <w:rPr>
          <w:rFonts w:asciiTheme="minorHAnsi" w:hAnsiTheme="minorHAnsi" w:cstheme="minorHAnsi"/>
        </w:rPr>
      </w:pPr>
      <w:proofErr w:type="spellStart"/>
      <w:r>
        <w:rPr>
          <w:rFonts w:asciiTheme="minorHAnsi" w:hAnsiTheme="minorHAnsi" w:cstheme="minorHAnsi"/>
        </w:rPr>
        <w:t>Uersfeld</w:t>
      </w:r>
      <w:proofErr w:type="spellEnd"/>
      <w:r>
        <w:rPr>
          <w:rFonts w:asciiTheme="minorHAnsi" w:hAnsiTheme="minorHAnsi" w:cstheme="minorHAnsi"/>
        </w:rPr>
        <w:t xml:space="preserve"> 24, 52072 Aachen, Deutschland</w:t>
      </w:r>
    </w:p>
    <w:p w:rsidR="00705855" w:rsidRDefault="00705855" w:rsidP="00705855">
      <w:pPr>
        <w:spacing w:before="0" w:after="0"/>
        <w:rPr>
          <w:rFonts w:asciiTheme="minorHAnsi" w:hAnsiTheme="minorHAnsi" w:cstheme="minorHAnsi"/>
        </w:rPr>
      </w:pPr>
      <w:r>
        <w:rPr>
          <w:rFonts w:asciiTheme="minorHAnsi" w:hAnsiTheme="minorHAnsi" w:cstheme="minorHAnsi"/>
        </w:rPr>
        <w:t>Tel.: +49 241 434-1</w:t>
      </w:r>
    </w:p>
    <w:p w:rsidR="00705855" w:rsidRDefault="00705855" w:rsidP="00705855">
      <w:pPr>
        <w:spacing w:before="0" w:after="0"/>
        <w:rPr>
          <w:rFonts w:asciiTheme="minorHAnsi" w:hAnsiTheme="minorHAnsi" w:cstheme="minorHAnsi"/>
        </w:rPr>
      </w:pPr>
      <w:r>
        <w:rPr>
          <w:rFonts w:asciiTheme="minorHAnsi" w:hAnsiTheme="minorHAnsi" w:cstheme="minorHAnsi"/>
        </w:rPr>
        <w:t>Fax: +49 241 434-500</w:t>
      </w:r>
    </w:p>
    <w:p w:rsidR="00705855" w:rsidRPr="00705855" w:rsidRDefault="00705855" w:rsidP="00705855">
      <w:pPr>
        <w:spacing w:before="0" w:after="0"/>
        <w:rPr>
          <w:rFonts w:asciiTheme="minorHAnsi" w:hAnsiTheme="minorHAnsi" w:cstheme="minorHAnsi"/>
        </w:rPr>
      </w:pPr>
      <w:r>
        <w:rPr>
          <w:rFonts w:asciiTheme="minorHAnsi" w:hAnsiTheme="minorHAnsi" w:cstheme="minorHAnsi"/>
        </w:rPr>
        <w:t>info.filter@krantz.de | www.krantz.de</w:t>
      </w:r>
      <w:bookmarkStart w:id="0" w:name="_GoBack"/>
      <w:bookmarkEnd w:id="0"/>
    </w:p>
    <w:sectPr w:rsidR="00705855" w:rsidRPr="00705855" w:rsidSect="001130EC">
      <w:pgSz w:w="11906" w:h="16838" w:code="9"/>
      <w:pgMar w:top="1843"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BT">
    <w:panose1 w:val="020B0504020202020204"/>
    <w:charset w:val="00"/>
    <w:family w:val="swiss"/>
    <w:pitch w:val="variable"/>
    <w:sig w:usb0="00000087" w:usb1="00000000" w:usb2="00000000" w:usb3="00000000" w:csb0="0000001B" w:csb1="00000000"/>
  </w:font>
  <w:font w:name="Swis721 Lt BT">
    <w:altName w:val="Microsoft YaHei"/>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354D8F"/>
    <w:multiLevelType w:val="hybridMultilevel"/>
    <w:tmpl w:val="0D223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7"/>
  </w:num>
  <w:num w:numId="5">
    <w:abstractNumId w:val="0"/>
  </w:num>
  <w:num w:numId="6">
    <w:abstractNumId w:val="2"/>
  </w:num>
  <w:num w:numId="7">
    <w:abstractNumId w:val="9"/>
  </w:num>
  <w:num w:numId="8">
    <w:abstractNumId w:val="3"/>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1130EC"/>
    <w:rsid w:val="0000037E"/>
    <w:rsid w:val="00013F2E"/>
    <w:rsid w:val="000E0155"/>
    <w:rsid w:val="001130EC"/>
    <w:rsid w:val="001153DD"/>
    <w:rsid w:val="001313E8"/>
    <w:rsid w:val="00192617"/>
    <w:rsid w:val="0029487D"/>
    <w:rsid w:val="0031363F"/>
    <w:rsid w:val="00327581"/>
    <w:rsid w:val="00351BF5"/>
    <w:rsid w:val="003C09F9"/>
    <w:rsid w:val="004511AD"/>
    <w:rsid w:val="00540083"/>
    <w:rsid w:val="00696F3F"/>
    <w:rsid w:val="006E0630"/>
    <w:rsid w:val="00705855"/>
    <w:rsid w:val="00726815"/>
    <w:rsid w:val="00742798"/>
    <w:rsid w:val="007627DB"/>
    <w:rsid w:val="00776F5F"/>
    <w:rsid w:val="007F54C1"/>
    <w:rsid w:val="00831BCC"/>
    <w:rsid w:val="00927851"/>
    <w:rsid w:val="00976CFE"/>
    <w:rsid w:val="00AD109B"/>
    <w:rsid w:val="00CB3183"/>
    <w:rsid w:val="00D46ABF"/>
    <w:rsid w:val="00DC0288"/>
    <w:rsid w:val="00DD3540"/>
    <w:rsid w:val="00E3692E"/>
    <w:rsid w:val="00EA0EFF"/>
    <w:rsid w:val="00F77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7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29CD1FA7FA1F40BDB06E7281E510AB" ma:contentTypeVersion="1" ma:contentTypeDescription="Ein neues Dokument erstellen." ma:contentTypeScope="" ma:versionID="b5d27349524638230642f3f6b383c228">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C4A7A-7C78-4C54-873B-BFFE9074904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DD77855-4C51-458F-9628-E0550DE45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048D6-5F8D-42B8-8DD1-B75AB7156963}">
  <ds:schemaRefs>
    <ds:schemaRef ds:uri="http://schemas.microsoft.com/sharepoint/v3/contenttype/forms"/>
  </ds:schemaRefs>
</ds:datastoreItem>
</file>

<file path=customXml/itemProps4.xml><?xml version="1.0" encoding="utf-8"?>
<ds:datastoreItem xmlns:ds="http://schemas.openxmlformats.org/officeDocument/2006/customXml" ds:itemID="{504992D4-275B-4988-8166-F3E26FE6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7</cp:revision>
  <dcterms:created xsi:type="dcterms:W3CDTF">2012-11-15T15:21:00Z</dcterms:created>
  <dcterms:modified xsi:type="dcterms:W3CDTF">2018-01-05T13:20:00Z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0x0101005229CD1FA7FA1F40BDB06E7281E510AB</vt:lpwstr>
  </property>
</Properties>
</file>